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913C9" w:rsidRPr="00FD630C" w:rsidRDefault="008A1379">
      <w:pPr>
        <w:rPr>
          <w:color w:val="auto"/>
        </w:rPr>
      </w:pPr>
      <w:r w:rsidRPr="00FD630C">
        <w:rPr>
          <w:b/>
          <w:color w:val="auto"/>
        </w:rPr>
        <w:t>NADZORNI ODBOR</w:t>
      </w:r>
    </w:p>
    <w:p w:rsidR="00A913C9" w:rsidRPr="00FD630C" w:rsidRDefault="008A1379">
      <w:pPr>
        <w:rPr>
          <w:color w:val="auto"/>
        </w:rPr>
      </w:pPr>
      <w:r w:rsidRPr="00FD630C">
        <w:rPr>
          <w:color w:val="auto"/>
        </w:rPr>
        <w:t>Občine Trzin</w:t>
      </w:r>
    </w:p>
    <w:p w:rsidR="00A913C9" w:rsidRPr="00FD630C" w:rsidRDefault="008A1379">
      <w:pPr>
        <w:rPr>
          <w:color w:val="auto"/>
        </w:rPr>
      </w:pPr>
      <w:r w:rsidRPr="00FD630C">
        <w:rPr>
          <w:color w:val="auto"/>
        </w:rPr>
        <w:t>Mengeška c. 22, 1236 Trzin</w:t>
      </w:r>
    </w:p>
    <w:p w:rsidR="00A913C9" w:rsidRPr="00FD630C" w:rsidRDefault="00A913C9">
      <w:pPr>
        <w:rPr>
          <w:color w:val="auto"/>
        </w:rPr>
      </w:pPr>
    </w:p>
    <w:p w:rsidR="00A913C9" w:rsidRPr="00FD630C" w:rsidRDefault="00A913C9">
      <w:pPr>
        <w:rPr>
          <w:color w:val="auto"/>
        </w:rPr>
      </w:pPr>
    </w:p>
    <w:p w:rsidR="00A913C9" w:rsidRPr="00FD630C" w:rsidRDefault="00294E1D">
      <w:pPr>
        <w:rPr>
          <w:color w:val="auto"/>
        </w:rPr>
      </w:pPr>
      <w:r w:rsidRPr="00FD630C">
        <w:rPr>
          <w:color w:val="auto"/>
        </w:rPr>
        <w:t>Š</w:t>
      </w:r>
      <w:r w:rsidR="00E87AFF" w:rsidRPr="00FD630C">
        <w:rPr>
          <w:color w:val="auto"/>
        </w:rPr>
        <w:t>tevilka zadeve: 060-0005/2012-</w:t>
      </w:r>
      <w:r w:rsidR="00762E00">
        <w:rPr>
          <w:color w:val="auto"/>
        </w:rPr>
        <w:t>18</w:t>
      </w:r>
    </w:p>
    <w:p w:rsidR="00A913C9" w:rsidRPr="00FD630C" w:rsidRDefault="00E87AFF">
      <w:pPr>
        <w:rPr>
          <w:color w:val="auto"/>
        </w:rPr>
      </w:pPr>
      <w:r w:rsidRPr="00FD630C">
        <w:rPr>
          <w:color w:val="auto"/>
        </w:rPr>
        <w:t>Datum:</w:t>
      </w:r>
      <w:r w:rsidR="00762E00">
        <w:rPr>
          <w:color w:val="auto"/>
        </w:rPr>
        <w:t xml:space="preserve"> 25</w:t>
      </w:r>
      <w:r w:rsidR="00B27854" w:rsidRPr="00FD630C">
        <w:rPr>
          <w:color w:val="auto"/>
        </w:rPr>
        <w:t>.02</w:t>
      </w:r>
      <w:r w:rsidR="00843E61" w:rsidRPr="00FD630C">
        <w:rPr>
          <w:color w:val="auto"/>
        </w:rPr>
        <w:t>.2014</w:t>
      </w:r>
    </w:p>
    <w:p w:rsidR="00A913C9" w:rsidRPr="00FD630C" w:rsidRDefault="00A913C9">
      <w:pPr>
        <w:rPr>
          <w:color w:val="auto"/>
        </w:rPr>
      </w:pPr>
    </w:p>
    <w:p w:rsidR="00A913C9" w:rsidRPr="00FD630C" w:rsidRDefault="00A913C9">
      <w:pPr>
        <w:rPr>
          <w:color w:val="auto"/>
        </w:rPr>
      </w:pPr>
    </w:p>
    <w:p w:rsidR="00A913C9" w:rsidRPr="00FD630C" w:rsidRDefault="008A1379" w:rsidP="008F74B4">
      <w:pPr>
        <w:jc w:val="both"/>
        <w:rPr>
          <w:color w:val="auto"/>
        </w:rPr>
      </w:pPr>
      <w:r w:rsidRPr="00FD630C">
        <w:rPr>
          <w:color w:val="auto"/>
        </w:rPr>
        <w:t>Na podlagi 42.</w:t>
      </w:r>
      <w:r w:rsidR="008F74B4" w:rsidRPr="00FD630C">
        <w:rPr>
          <w:color w:val="auto"/>
        </w:rPr>
        <w:t xml:space="preserve"> člena Statuta Občine Trzin (Uradni vestnik </w:t>
      </w:r>
      <w:proofErr w:type="spellStart"/>
      <w:r w:rsidR="008F74B4" w:rsidRPr="00FD630C">
        <w:rPr>
          <w:color w:val="auto"/>
        </w:rPr>
        <w:t>OT</w:t>
      </w:r>
      <w:proofErr w:type="spellEnd"/>
      <w:r w:rsidR="008F74B4" w:rsidRPr="00FD630C">
        <w:rPr>
          <w:color w:val="auto"/>
        </w:rPr>
        <w:t xml:space="preserve">, št. </w:t>
      </w:r>
      <w:r w:rsidRPr="00FD630C">
        <w:rPr>
          <w:color w:val="auto"/>
        </w:rPr>
        <w:t>2/06</w:t>
      </w:r>
      <w:r w:rsidR="008F74B4" w:rsidRPr="00FD630C">
        <w:rPr>
          <w:color w:val="auto"/>
        </w:rPr>
        <w:t xml:space="preserve"> – uradno prečiščeno besedilo 1</w:t>
      </w:r>
      <w:r w:rsidRPr="00FD630C">
        <w:rPr>
          <w:color w:val="auto"/>
        </w:rPr>
        <w:t xml:space="preserve"> in 8/06) in 29. člena Poslovnika Nadzornega </w:t>
      </w:r>
      <w:r w:rsidR="008F74B4" w:rsidRPr="00FD630C">
        <w:rPr>
          <w:color w:val="auto"/>
        </w:rPr>
        <w:t xml:space="preserve">odbora Občine Trzin (Uradni vestnik </w:t>
      </w:r>
      <w:proofErr w:type="spellStart"/>
      <w:r w:rsidR="008F74B4" w:rsidRPr="00FD630C">
        <w:rPr>
          <w:color w:val="auto"/>
        </w:rPr>
        <w:t>OT</w:t>
      </w:r>
      <w:proofErr w:type="spellEnd"/>
      <w:r w:rsidRPr="00FD630C">
        <w:rPr>
          <w:color w:val="auto"/>
        </w:rPr>
        <w:t>, št. 9/07) je Na</w:t>
      </w:r>
      <w:r w:rsidR="005B4494" w:rsidRPr="00FD630C">
        <w:rPr>
          <w:color w:val="auto"/>
        </w:rPr>
        <w:t xml:space="preserve">dzorni odbor občine Trzin na </w:t>
      </w:r>
      <w:r w:rsidR="00E87AFF" w:rsidRPr="00FD630C">
        <w:rPr>
          <w:color w:val="auto"/>
        </w:rPr>
        <w:t xml:space="preserve">10. korespondenčni </w:t>
      </w:r>
      <w:r w:rsidR="00085EC4" w:rsidRPr="00FD630C">
        <w:rPr>
          <w:color w:val="auto"/>
        </w:rPr>
        <w:t xml:space="preserve">seji, </w:t>
      </w:r>
      <w:r w:rsidRPr="00FD630C">
        <w:rPr>
          <w:color w:val="auto"/>
        </w:rPr>
        <w:t>z dne</w:t>
      </w:r>
      <w:r w:rsidR="00085EC4" w:rsidRPr="00FD630C">
        <w:rPr>
          <w:color w:val="auto"/>
        </w:rPr>
        <w:t xml:space="preserve"> </w:t>
      </w:r>
      <w:r w:rsidR="000B6D7B" w:rsidRPr="00FD630C">
        <w:rPr>
          <w:color w:val="auto"/>
        </w:rPr>
        <w:t>24</w:t>
      </w:r>
      <w:r w:rsidR="00E87AFF" w:rsidRPr="00FD630C">
        <w:rPr>
          <w:color w:val="auto"/>
        </w:rPr>
        <w:t>.02</w:t>
      </w:r>
      <w:r w:rsidR="00085EC4" w:rsidRPr="00FD630C">
        <w:rPr>
          <w:color w:val="auto"/>
        </w:rPr>
        <w:t xml:space="preserve">.2014 </w:t>
      </w:r>
      <w:r w:rsidRPr="00FD630C">
        <w:rPr>
          <w:color w:val="auto"/>
        </w:rPr>
        <w:t>sprejel</w:t>
      </w:r>
    </w:p>
    <w:p w:rsidR="00A913C9" w:rsidRPr="00FD630C" w:rsidRDefault="00A913C9">
      <w:pPr>
        <w:rPr>
          <w:color w:val="auto"/>
        </w:rPr>
      </w:pPr>
    </w:p>
    <w:p w:rsidR="00FF5B0A" w:rsidRPr="00FD630C" w:rsidRDefault="00FF5B0A">
      <w:pPr>
        <w:rPr>
          <w:color w:val="auto"/>
        </w:rPr>
      </w:pPr>
    </w:p>
    <w:p w:rsidR="00A913C9" w:rsidRPr="00FD630C" w:rsidRDefault="00E87AFF">
      <w:pPr>
        <w:jc w:val="center"/>
        <w:rPr>
          <w:color w:val="auto"/>
        </w:rPr>
      </w:pPr>
      <w:r w:rsidRPr="00FD630C">
        <w:rPr>
          <w:b/>
          <w:color w:val="auto"/>
        </w:rPr>
        <w:t>KONČNO POROČILO</w:t>
      </w:r>
      <w:r w:rsidR="008A1379" w:rsidRPr="00FD630C">
        <w:rPr>
          <w:b/>
          <w:color w:val="auto"/>
        </w:rPr>
        <w:t xml:space="preserve"> NADZORNEGA ODBORA </w:t>
      </w:r>
    </w:p>
    <w:p w:rsidR="00A913C9" w:rsidRPr="00FD630C" w:rsidRDefault="00085EC4">
      <w:pPr>
        <w:jc w:val="center"/>
        <w:rPr>
          <w:color w:val="auto"/>
        </w:rPr>
      </w:pPr>
      <w:r w:rsidRPr="00FD630C">
        <w:rPr>
          <w:b/>
          <w:color w:val="auto"/>
        </w:rPr>
        <w:t>O NADZORU NAD PREGLEDOM</w:t>
      </w:r>
      <w:r w:rsidR="008A1379" w:rsidRPr="00FD630C">
        <w:rPr>
          <w:b/>
          <w:color w:val="auto"/>
        </w:rPr>
        <w:t xml:space="preserve"> REALIZIRANIH NALOŽB V JEFAČN’KOVO DOMAČIJO</w:t>
      </w:r>
    </w:p>
    <w:p w:rsidR="00A913C9" w:rsidRPr="00FD630C" w:rsidRDefault="00A913C9">
      <w:pPr>
        <w:rPr>
          <w:color w:val="auto"/>
        </w:rPr>
      </w:pPr>
    </w:p>
    <w:p w:rsidR="00A913C9" w:rsidRPr="00FD630C" w:rsidRDefault="00A913C9"/>
    <w:p w:rsidR="00A913C9" w:rsidRPr="00FD630C" w:rsidRDefault="008A1379">
      <w:r w:rsidRPr="00FD630C">
        <w:rPr>
          <w:b/>
        </w:rPr>
        <w:t>Ime nadzorovanega organa:</w:t>
      </w:r>
    </w:p>
    <w:p w:rsidR="00A913C9" w:rsidRPr="00FD630C" w:rsidRDefault="00A913C9"/>
    <w:p w:rsidR="00A913C9" w:rsidRPr="00FD630C" w:rsidRDefault="008A1379">
      <w:r w:rsidRPr="00FD630C">
        <w:rPr>
          <w:b/>
        </w:rPr>
        <w:t>Občina Trzin</w:t>
      </w:r>
    </w:p>
    <w:p w:rsidR="00A913C9" w:rsidRPr="00FD630C" w:rsidRDefault="008A1379">
      <w:r w:rsidRPr="00FD630C">
        <w:t>Mengeška 22</w:t>
      </w:r>
    </w:p>
    <w:p w:rsidR="00A913C9" w:rsidRPr="00FD630C" w:rsidRDefault="008A1379">
      <w:r w:rsidRPr="00FD630C">
        <w:t>1236 Trzin</w:t>
      </w:r>
    </w:p>
    <w:p w:rsidR="00A913C9" w:rsidRPr="00FD630C" w:rsidRDefault="00A913C9"/>
    <w:p w:rsidR="00A913C9" w:rsidRPr="00FD630C" w:rsidRDefault="008A1379">
      <w:r w:rsidRPr="00FD630C">
        <w:rPr>
          <w:b/>
        </w:rPr>
        <w:t>Odgovorna oseba nadzorovane osebe:</w:t>
      </w:r>
    </w:p>
    <w:p w:rsidR="00A913C9" w:rsidRPr="00FD630C" w:rsidRDefault="008A1379">
      <w:r w:rsidRPr="00FD630C">
        <w:t>Tone Peršak, župan</w:t>
      </w:r>
    </w:p>
    <w:p w:rsidR="00A913C9" w:rsidRPr="00FD630C" w:rsidRDefault="00A913C9"/>
    <w:p w:rsidR="00A913C9" w:rsidRPr="00FD630C" w:rsidRDefault="008A1379">
      <w:pPr>
        <w:pStyle w:val="Naslov2"/>
        <w:spacing w:before="360" w:after="80"/>
        <w:contextualSpacing w:val="0"/>
        <w:rPr>
          <w:rFonts w:ascii="Arial" w:hAnsi="Arial" w:cs="Arial"/>
          <w:sz w:val="22"/>
        </w:rPr>
      </w:pPr>
      <w:bookmarkStart w:id="0" w:name="h.uwnowsbnqsdg" w:colFirst="0" w:colLast="0"/>
      <w:bookmarkEnd w:id="0"/>
      <w:r w:rsidRPr="00FD630C">
        <w:rPr>
          <w:rFonts w:ascii="Arial" w:eastAsia="Arial" w:hAnsi="Arial" w:cs="Arial"/>
          <w:sz w:val="22"/>
        </w:rPr>
        <w:t>Uvod</w:t>
      </w:r>
    </w:p>
    <w:p w:rsidR="00A913C9" w:rsidRPr="00FD630C" w:rsidRDefault="00A913C9"/>
    <w:p w:rsidR="00A913C9" w:rsidRPr="00FD630C" w:rsidRDefault="008A1379" w:rsidP="00085EC4">
      <w:pPr>
        <w:jc w:val="both"/>
      </w:pPr>
      <w:r w:rsidRPr="00FD630C">
        <w:t>Nadzorni odbor Občine Trzin je na svoji 10. redni seji dne 25.01.2012 sprejel sklep o ustanovitvi</w:t>
      </w:r>
    </w:p>
    <w:p w:rsidR="00A913C9" w:rsidRPr="00FD630C" w:rsidRDefault="008A1379" w:rsidP="00085EC4">
      <w:pPr>
        <w:jc w:val="both"/>
      </w:pPr>
      <w:r w:rsidRPr="00FD630C">
        <w:t>delovne skupine za pregled realizirani</w:t>
      </w:r>
      <w:r w:rsidR="00167810" w:rsidRPr="00FD630C">
        <w:t>h naložb v Jefačn’kovo domačijo</w:t>
      </w:r>
      <w:r w:rsidRPr="00FD630C">
        <w:t>. V delovno skupino sta bila imenovana Marko Pavlišič in Katarina Kadunc.</w:t>
      </w:r>
    </w:p>
    <w:p w:rsidR="00A913C9" w:rsidRPr="00FD630C" w:rsidRDefault="00A913C9"/>
    <w:p w:rsidR="00A913C9" w:rsidRPr="00FD630C" w:rsidRDefault="008A1379" w:rsidP="00085EC4">
      <w:pPr>
        <w:jc w:val="both"/>
      </w:pPr>
      <w:r w:rsidRPr="00FD630C">
        <w:t>Namen in cilj nadzora:</w:t>
      </w:r>
    </w:p>
    <w:p w:rsidR="00A913C9" w:rsidRPr="00FD630C" w:rsidRDefault="008A1379" w:rsidP="00085EC4">
      <w:pPr>
        <w:numPr>
          <w:ilvl w:val="0"/>
          <w:numId w:val="2"/>
        </w:numPr>
        <w:ind w:hanging="359"/>
        <w:contextualSpacing/>
        <w:jc w:val="both"/>
      </w:pPr>
      <w:r w:rsidRPr="00FD630C">
        <w:t>preveriti skladnost finančnega poslovanja z zakoni in podzakonskimi akti ter preglednost poslovanja;</w:t>
      </w:r>
    </w:p>
    <w:p w:rsidR="00A913C9" w:rsidRPr="00FD630C" w:rsidRDefault="008A1379" w:rsidP="00085EC4">
      <w:pPr>
        <w:numPr>
          <w:ilvl w:val="0"/>
          <w:numId w:val="2"/>
        </w:numPr>
        <w:ind w:hanging="359"/>
        <w:contextualSpacing/>
        <w:jc w:val="both"/>
      </w:pPr>
      <w:r w:rsidRPr="00FD630C">
        <w:t>preveriti skladnost finančnega poslovanja s proračunom Občine Trzin;</w:t>
      </w:r>
    </w:p>
    <w:p w:rsidR="00A913C9" w:rsidRPr="00FD630C" w:rsidRDefault="008A1379" w:rsidP="00085EC4">
      <w:pPr>
        <w:numPr>
          <w:ilvl w:val="0"/>
          <w:numId w:val="2"/>
        </w:numPr>
        <w:ind w:hanging="359"/>
        <w:contextualSpacing/>
        <w:jc w:val="both"/>
      </w:pPr>
      <w:r w:rsidRPr="00FD630C">
        <w:t>ugotoviti pravilnost vodenja poslovnih knjig;</w:t>
      </w:r>
    </w:p>
    <w:p w:rsidR="00A913C9" w:rsidRPr="00FD630C" w:rsidRDefault="008A1379" w:rsidP="00085EC4">
      <w:pPr>
        <w:numPr>
          <w:ilvl w:val="0"/>
          <w:numId w:val="2"/>
        </w:numPr>
        <w:ind w:hanging="359"/>
        <w:contextualSpacing/>
        <w:jc w:val="both"/>
      </w:pPr>
      <w:r w:rsidRPr="00FD630C">
        <w:t>poročati o ugotovljenih nepravilnostih;</w:t>
      </w:r>
    </w:p>
    <w:p w:rsidR="00A913C9" w:rsidRPr="00FD630C" w:rsidRDefault="008A1379" w:rsidP="00085EC4">
      <w:pPr>
        <w:numPr>
          <w:ilvl w:val="0"/>
          <w:numId w:val="2"/>
        </w:numPr>
        <w:ind w:hanging="359"/>
        <w:contextualSpacing/>
        <w:jc w:val="both"/>
      </w:pPr>
      <w:r w:rsidRPr="00FD630C">
        <w:t>podati priporočila in predloge za nadaljnje poslovanje organa.</w:t>
      </w:r>
    </w:p>
    <w:p w:rsidR="00FF5B0A" w:rsidRPr="00FD630C" w:rsidRDefault="00FF5B0A" w:rsidP="00085EC4">
      <w:pPr>
        <w:pStyle w:val="Naslov2"/>
        <w:spacing w:before="360" w:after="80"/>
        <w:contextualSpacing w:val="0"/>
        <w:jc w:val="both"/>
        <w:rPr>
          <w:rFonts w:ascii="Arial" w:eastAsia="Arial" w:hAnsi="Arial" w:cs="Arial"/>
          <w:sz w:val="22"/>
        </w:rPr>
      </w:pPr>
      <w:bookmarkStart w:id="1" w:name="h.husn25t81hyw" w:colFirst="0" w:colLast="0"/>
      <w:bookmarkEnd w:id="1"/>
    </w:p>
    <w:p w:rsidR="00E03C99" w:rsidRDefault="00E03C99" w:rsidP="00085EC4">
      <w:pPr>
        <w:pStyle w:val="Naslov2"/>
        <w:spacing w:before="360" w:after="80"/>
        <w:contextualSpacing w:val="0"/>
        <w:jc w:val="both"/>
        <w:rPr>
          <w:rFonts w:ascii="Arial" w:eastAsia="Arial" w:hAnsi="Arial" w:cs="Arial"/>
          <w:sz w:val="22"/>
        </w:rPr>
      </w:pPr>
    </w:p>
    <w:p w:rsidR="00A913C9" w:rsidRPr="00FD630C" w:rsidRDefault="008A1379" w:rsidP="00085EC4">
      <w:pPr>
        <w:pStyle w:val="Naslov2"/>
        <w:spacing w:before="360" w:after="80"/>
        <w:contextualSpacing w:val="0"/>
        <w:jc w:val="both"/>
        <w:rPr>
          <w:rFonts w:ascii="Arial" w:hAnsi="Arial" w:cs="Arial"/>
          <w:sz w:val="22"/>
        </w:rPr>
      </w:pPr>
      <w:r w:rsidRPr="00FD630C">
        <w:rPr>
          <w:rFonts w:ascii="Arial" w:eastAsia="Arial" w:hAnsi="Arial" w:cs="Arial"/>
          <w:sz w:val="22"/>
        </w:rPr>
        <w:lastRenderedPageBreak/>
        <w:t>Povzetek opravljenih nadzorov</w:t>
      </w:r>
    </w:p>
    <w:p w:rsidR="00A913C9" w:rsidRPr="00FD630C" w:rsidRDefault="008A1379" w:rsidP="00085EC4">
      <w:pPr>
        <w:jc w:val="both"/>
      </w:pPr>
      <w:r w:rsidRPr="00FD630C">
        <w:rPr>
          <w:color w:val="222222"/>
          <w:highlight w:val="white"/>
        </w:rPr>
        <w:t>Delovna skupina je nadzo</w:t>
      </w:r>
      <w:r w:rsidR="00085EC4" w:rsidRPr="00FD630C">
        <w:rPr>
          <w:color w:val="222222"/>
          <w:highlight w:val="white"/>
        </w:rPr>
        <w:t>r opravila dne 30.11.2012. Pris</w:t>
      </w:r>
      <w:r w:rsidRPr="00FD630C">
        <w:rPr>
          <w:color w:val="222222"/>
          <w:highlight w:val="white"/>
        </w:rPr>
        <w:t>otna sta bila oba člana delovne skupine. S stani občine je bila prisotna gospa Sida Valentinčič, ki je predložila zahtevano dokumentacijo.</w:t>
      </w:r>
    </w:p>
    <w:p w:rsidR="00A913C9" w:rsidRPr="00FD630C" w:rsidRDefault="00A913C9" w:rsidP="00085EC4">
      <w:pPr>
        <w:jc w:val="both"/>
      </w:pPr>
    </w:p>
    <w:p w:rsidR="00A913C9" w:rsidRPr="00FD630C" w:rsidRDefault="008A1379" w:rsidP="00085EC4">
      <w:pPr>
        <w:jc w:val="both"/>
      </w:pPr>
      <w:r w:rsidRPr="00FD630C">
        <w:rPr>
          <w:color w:val="222222"/>
          <w:highlight w:val="white"/>
        </w:rPr>
        <w:t>Delovna skupina je ugotovila, da je bil izvajalec izbran na javnem razpisu, kjer je bilo merilo najugodnejša ponu</w:t>
      </w:r>
      <w:r w:rsidR="00085EC4" w:rsidRPr="00FD630C">
        <w:rPr>
          <w:color w:val="222222"/>
          <w:highlight w:val="white"/>
        </w:rPr>
        <w:t>d</w:t>
      </w:r>
      <w:r w:rsidRPr="00FD630C">
        <w:rPr>
          <w:color w:val="222222"/>
          <w:highlight w:val="white"/>
        </w:rPr>
        <w:t>ba pri čemer so do 5 točk prinesle reference na področju podobnih projektov s področja kulturne dediščine, do 95 točk pa cena. Iz zapisnika o izboru je razvid</w:t>
      </w:r>
      <w:r w:rsidR="00A82ADA" w:rsidRPr="00FD630C">
        <w:rPr>
          <w:color w:val="222222"/>
          <w:highlight w:val="white"/>
        </w:rPr>
        <w:t>no, da je bil izbran izvajalec V</w:t>
      </w:r>
      <w:r w:rsidRPr="00FD630C">
        <w:rPr>
          <w:color w:val="222222"/>
          <w:highlight w:val="white"/>
        </w:rPr>
        <w:t>G5 gradnja, inženiring in svetovanje d.o.o., Tehnološki park 24, 1000 Ljubljana, ki ga je zastopal g. Franc Perme.</w:t>
      </w:r>
    </w:p>
    <w:p w:rsidR="00A913C9" w:rsidRPr="00FD630C" w:rsidRDefault="00A913C9" w:rsidP="00085EC4">
      <w:pPr>
        <w:jc w:val="both"/>
      </w:pPr>
    </w:p>
    <w:p w:rsidR="00A913C9" w:rsidRPr="00FD630C" w:rsidRDefault="008A1379" w:rsidP="00085EC4">
      <w:pPr>
        <w:jc w:val="both"/>
      </w:pPr>
      <w:r w:rsidRPr="00FD630C">
        <w:rPr>
          <w:color w:val="222222"/>
          <w:highlight w:val="white"/>
        </w:rPr>
        <w:t>Pri pripravi razpisne dokumentacije je Občini svetovalo podjetje JHP d.o.o.</w:t>
      </w:r>
    </w:p>
    <w:p w:rsidR="00A913C9" w:rsidRPr="00FD630C" w:rsidRDefault="00A913C9" w:rsidP="00085EC4">
      <w:pPr>
        <w:jc w:val="both"/>
      </w:pPr>
    </w:p>
    <w:p w:rsidR="00A913C9" w:rsidRPr="00FD630C" w:rsidRDefault="008A1379" w:rsidP="00085EC4">
      <w:pPr>
        <w:jc w:val="both"/>
      </w:pPr>
      <w:r w:rsidRPr="00FD630C">
        <w:rPr>
          <w:color w:val="222222"/>
          <w:highlight w:val="white"/>
        </w:rPr>
        <w:t>Pogodba z izvajalcem je bila podpisana 25.4.2012. Do zamika podpisa je prišlo, ker je občina računala na sredstva iz državnega razpisa, pri čemer pa je pogoj, da pogodba še ni podpisana. Občina želenih sredstev ni dobila.</w:t>
      </w:r>
    </w:p>
    <w:p w:rsidR="00A913C9" w:rsidRPr="00FD630C" w:rsidRDefault="00A913C9" w:rsidP="00085EC4">
      <w:pPr>
        <w:jc w:val="both"/>
      </w:pPr>
    </w:p>
    <w:p w:rsidR="00A913C9" w:rsidRPr="00FD630C" w:rsidRDefault="008A1379" w:rsidP="00085EC4">
      <w:pPr>
        <w:jc w:val="both"/>
      </w:pPr>
      <w:r w:rsidRPr="00FD630C">
        <w:rPr>
          <w:color w:val="222222"/>
          <w:highlight w:val="white"/>
        </w:rPr>
        <w:t>31.8.2012 je bil k pogodbi sprejet aneks s katerim se je zamenjal podizvajalec za elektro inštalacije.</w:t>
      </w:r>
    </w:p>
    <w:p w:rsidR="00A913C9" w:rsidRPr="00FD630C" w:rsidRDefault="008A1379" w:rsidP="00085EC4">
      <w:pPr>
        <w:jc w:val="both"/>
      </w:pPr>
      <w:r w:rsidRPr="00FD630C">
        <w:rPr>
          <w:color w:val="222222"/>
          <w:highlight w:val="white"/>
        </w:rPr>
        <w:t>Pogodba se sklicuje na FIDIC, se pravi mednarodna splošna določila za gradbene pogodbe.</w:t>
      </w:r>
    </w:p>
    <w:p w:rsidR="00A913C9" w:rsidRPr="00FD630C" w:rsidRDefault="00A913C9" w:rsidP="00085EC4">
      <w:pPr>
        <w:jc w:val="both"/>
      </w:pPr>
    </w:p>
    <w:p w:rsidR="00A913C9" w:rsidRPr="00FD630C" w:rsidRDefault="008A1379" w:rsidP="00085EC4">
      <w:pPr>
        <w:jc w:val="both"/>
      </w:pPr>
      <w:r w:rsidRPr="00FD630C">
        <w:rPr>
          <w:color w:val="222222"/>
          <w:highlight w:val="white"/>
        </w:rPr>
        <w:t>Delovna skupina je pregledala tudi do takrat dostopne situacije in ni ugotovila posebnosti. Ravno ta</w:t>
      </w:r>
      <w:r w:rsidR="00085EC4" w:rsidRPr="00FD630C">
        <w:rPr>
          <w:color w:val="222222"/>
          <w:highlight w:val="white"/>
        </w:rPr>
        <w:t>ko ni bilo nič posebnega ugotov</w:t>
      </w:r>
      <w:r w:rsidRPr="00FD630C">
        <w:rPr>
          <w:color w:val="222222"/>
          <w:highlight w:val="white"/>
        </w:rPr>
        <w:t>ljenega pri pregledu pogodb z nadzornikom in projektantom.</w:t>
      </w:r>
    </w:p>
    <w:p w:rsidR="00A913C9" w:rsidRPr="00FD630C" w:rsidRDefault="00A913C9" w:rsidP="00085EC4">
      <w:pPr>
        <w:jc w:val="both"/>
      </w:pPr>
    </w:p>
    <w:p w:rsidR="00A913C9" w:rsidRPr="00FD630C" w:rsidRDefault="008A1379" w:rsidP="00085EC4">
      <w:pPr>
        <w:jc w:val="both"/>
      </w:pPr>
      <w:r w:rsidRPr="00FD630C">
        <w:rPr>
          <w:color w:val="222222"/>
          <w:highlight w:val="white"/>
        </w:rPr>
        <w:t>Pogodbe za nakup zemljišča so bile sklenjene leta 2006 in 2010. Do zamika med podpisano predpogodbo in pogodbo je prišlo zaradi dednega postopka.</w:t>
      </w:r>
    </w:p>
    <w:p w:rsidR="00A913C9" w:rsidRPr="00FD630C" w:rsidRDefault="00A913C9"/>
    <w:p w:rsidR="00A913C9" w:rsidRPr="00FD630C" w:rsidRDefault="008A1379" w:rsidP="00085EC4">
      <w:pPr>
        <w:jc w:val="both"/>
      </w:pPr>
      <w:r w:rsidRPr="00FD630C">
        <w:rPr>
          <w:color w:val="222222"/>
          <w:highlight w:val="white"/>
        </w:rPr>
        <w:t>Delovna skupina je na osnovi pregleda izpostavila vprašanje glede razhajanja med začetnim stanjem investicije in evidenco izdatkov, ter zaprosila za pojasnilo. Začetno stanje investicije v teku je znašalo 88.392,42 EUR po bilanci leta 2011. Seštevek izdatkov od 2006 pa do 2011 pa znaša 150.759 EUR.</w:t>
      </w:r>
    </w:p>
    <w:p w:rsidR="00A913C9" w:rsidRPr="00FD630C" w:rsidRDefault="00A913C9" w:rsidP="00085EC4">
      <w:pPr>
        <w:jc w:val="both"/>
      </w:pPr>
    </w:p>
    <w:p w:rsidR="00A913C9" w:rsidRPr="00FD630C" w:rsidRDefault="008A1379" w:rsidP="00085EC4">
      <w:pPr>
        <w:jc w:val="both"/>
      </w:pPr>
      <w:r w:rsidRPr="00FD630C">
        <w:rPr>
          <w:color w:val="222222"/>
          <w:highlight w:val="white"/>
        </w:rPr>
        <w:t>V odgovoru z dne 18.1.2013 predstavnica Občine pojasni, da naslednji stroški niso bili všteti v začetno stanje investicije:</w:t>
      </w:r>
    </w:p>
    <w:p w:rsidR="00A913C9" w:rsidRPr="00FD630C" w:rsidRDefault="008A1379" w:rsidP="00085EC4">
      <w:pPr>
        <w:numPr>
          <w:ilvl w:val="0"/>
          <w:numId w:val="1"/>
        </w:numPr>
        <w:ind w:hanging="359"/>
        <w:contextualSpacing/>
        <w:jc w:val="both"/>
        <w:rPr>
          <w:color w:val="222222"/>
          <w:highlight w:val="white"/>
        </w:rPr>
      </w:pPr>
      <w:r w:rsidRPr="00FD630C">
        <w:rPr>
          <w:color w:val="222222"/>
          <w:highlight w:val="white"/>
        </w:rPr>
        <w:t>27.124,02 EUR (nakup zemljišča) Podgoršek Borut,</w:t>
      </w:r>
    </w:p>
    <w:p w:rsidR="00A913C9" w:rsidRPr="00FD630C" w:rsidRDefault="008A1379" w:rsidP="00085EC4">
      <w:pPr>
        <w:numPr>
          <w:ilvl w:val="0"/>
          <w:numId w:val="1"/>
        </w:numPr>
        <w:ind w:hanging="359"/>
        <w:contextualSpacing/>
        <w:jc w:val="both"/>
        <w:rPr>
          <w:color w:val="222222"/>
          <w:highlight w:val="white"/>
        </w:rPr>
      </w:pPr>
      <w:r w:rsidRPr="00FD630C">
        <w:rPr>
          <w:color w:val="222222"/>
          <w:highlight w:val="white"/>
        </w:rPr>
        <w:t>27.124,02 EUR (nakup zemlj</w:t>
      </w:r>
      <w:r w:rsidR="00085EC4" w:rsidRPr="00FD630C">
        <w:rPr>
          <w:color w:val="222222"/>
          <w:highlight w:val="white"/>
        </w:rPr>
        <w:t>i</w:t>
      </w:r>
      <w:r w:rsidRPr="00FD630C">
        <w:rPr>
          <w:color w:val="222222"/>
          <w:highlight w:val="white"/>
        </w:rPr>
        <w:t>šča) Podgoršek Janez,</w:t>
      </w:r>
    </w:p>
    <w:p w:rsidR="00A913C9" w:rsidRPr="00FD630C" w:rsidRDefault="008A1379" w:rsidP="00085EC4">
      <w:pPr>
        <w:numPr>
          <w:ilvl w:val="0"/>
          <w:numId w:val="1"/>
        </w:numPr>
        <w:ind w:hanging="359"/>
        <w:contextualSpacing/>
        <w:jc w:val="both"/>
        <w:rPr>
          <w:color w:val="222222"/>
          <w:highlight w:val="white"/>
        </w:rPr>
      </w:pPr>
      <w:r w:rsidRPr="00FD630C">
        <w:rPr>
          <w:color w:val="222222"/>
          <w:highlight w:val="white"/>
        </w:rPr>
        <w:t>4.114,03 (Razvojni zavod) Arhitekturni posnetek stanja.</w:t>
      </w:r>
    </w:p>
    <w:p w:rsidR="00A913C9" w:rsidRPr="00FD630C" w:rsidRDefault="008A1379" w:rsidP="00085EC4">
      <w:pPr>
        <w:jc w:val="both"/>
      </w:pPr>
      <w:r w:rsidRPr="00FD630C">
        <w:rPr>
          <w:color w:val="222222"/>
          <w:highlight w:val="white"/>
        </w:rPr>
        <w:t>Poleg navedenega pa so pojasnjeni še nekateri manjši zneski povezani z dobropisi, odbitki DDV in pomote pri knjiženju.</w:t>
      </w:r>
    </w:p>
    <w:p w:rsidR="00A913C9" w:rsidRPr="00FD630C" w:rsidRDefault="00A913C9"/>
    <w:p w:rsidR="00A913C9" w:rsidRPr="00FD630C" w:rsidRDefault="008A1379">
      <w:r w:rsidRPr="00FD630C">
        <w:rPr>
          <w:color w:val="222222"/>
          <w:highlight w:val="white"/>
        </w:rPr>
        <w:t xml:space="preserve">S tem je razhajanje, zaradi katerega je delovna skupina zaprosila za pojasnilo, ustrezno pojasnjen. </w:t>
      </w:r>
    </w:p>
    <w:p w:rsidR="00E03C99" w:rsidRDefault="00E03C99" w:rsidP="00085EC4">
      <w:pPr>
        <w:pStyle w:val="Naslov2"/>
        <w:spacing w:before="360" w:after="80"/>
        <w:contextualSpacing w:val="0"/>
        <w:jc w:val="both"/>
        <w:rPr>
          <w:rFonts w:ascii="Arial" w:eastAsia="Arial" w:hAnsi="Arial" w:cs="Arial"/>
          <w:sz w:val="22"/>
        </w:rPr>
      </w:pPr>
      <w:bookmarkStart w:id="2" w:name="h.qw25yo4ocejh" w:colFirst="0" w:colLast="0"/>
      <w:bookmarkEnd w:id="2"/>
    </w:p>
    <w:p w:rsidR="00E03C99" w:rsidRDefault="00E03C99" w:rsidP="00085EC4">
      <w:pPr>
        <w:pStyle w:val="Naslov2"/>
        <w:spacing w:before="360" w:after="80"/>
        <w:contextualSpacing w:val="0"/>
        <w:jc w:val="both"/>
        <w:rPr>
          <w:rFonts w:ascii="Arial" w:eastAsia="Arial" w:hAnsi="Arial" w:cs="Arial"/>
          <w:sz w:val="22"/>
        </w:rPr>
      </w:pPr>
    </w:p>
    <w:p w:rsidR="00A913C9" w:rsidRPr="00FD630C" w:rsidRDefault="008A1379" w:rsidP="00085EC4">
      <w:pPr>
        <w:pStyle w:val="Naslov2"/>
        <w:spacing w:before="360" w:after="80"/>
        <w:contextualSpacing w:val="0"/>
        <w:jc w:val="both"/>
        <w:rPr>
          <w:rFonts w:ascii="Arial" w:hAnsi="Arial" w:cs="Arial"/>
          <w:sz w:val="22"/>
        </w:rPr>
      </w:pPr>
      <w:r w:rsidRPr="00FD630C">
        <w:rPr>
          <w:rFonts w:ascii="Arial" w:eastAsia="Arial" w:hAnsi="Arial" w:cs="Arial"/>
          <w:sz w:val="22"/>
        </w:rPr>
        <w:lastRenderedPageBreak/>
        <w:t>Ugotovitveni del</w:t>
      </w:r>
    </w:p>
    <w:p w:rsidR="00A913C9" w:rsidRPr="00FD630C" w:rsidRDefault="00A913C9" w:rsidP="00085EC4">
      <w:pPr>
        <w:jc w:val="both"/>
      </w:pPr>
    </w:p>
    <w:p w:rsidR="00A913C9" w:rsidRPr="00FD630C" w:rsidRDefault="008A1379" w:rsidP="00085EC4">
      <w:pPr>
        <w:jc w:val="both"/>
      </w:pPr>
      <w:r w:rsidRPr="00FD630C">
        <w:t xml:space="preserve">Nadzorni odbor izreka POZITIVNO MNENJE o predmetu nadzora – PREGLED REALIZIRANIH NALOŽB v JEFAČN’KOVO DOMAČIJO. </w:t>
      </w:r>
    </w:p>
    <w:p w:rsidR="00A913C9" w:rsidRPr="00FD630C" w:rsidRDefault="00A913C9" w:rsidP="00085EC4">
      <w:pPr>
        <w:jc w:val="both"/>
      </w:pPr>
    </w:p>
    <w:p w:rsidR="00A913C9" w:rsidRPr="00FD630C" w:rsidRDefault="008A1379" w:rsidP="00085EC4">
      <w:pPr>
        <w:jc w:val="both"/>
      </w:pPr>
      <w:r w:rsidRPr="00FD630C">
        <w:t>V nadaljevanju podajamo ostale ugotovitve in z njimi povezana priporočila, ki izhajajo iz opravljenega nadzora.</w:t>
      </w:r>
    </w:p>
    <w:p w:rsidR="00A913C9" w:rsidRPr="00FD630C" w:rsidRDefault="008A1379" w:rsidP="00085EC4">
      <w:pPr>
        <w:pStyle w:val="Naslov2"/>
        <w:spacing w:before="360" w:after="80"/>
        <w:contextualSpacing w:val="0"/>
        <w:jc w:val="both"/>
        <w:rPr>
          <w:rFonts w:ascii="Arial" w:hAnsi="Arial" w:cs="Arial"/>
          <w:sz w:val="22"/>
        </w:rPr>
      </w:pPr>
      <w:bookmarkStart w:id="3" w:name="h.l3hfgljnhraa" w:colFirst="0" w:colLast="0"/>
      <w:bookmarkEnd w:id="3"/>
      <w:r w:rsidRPr="00FD630C">
        <w:rPr>
          <w:rFonts w:ascii="Arial" w:eastAsia="Arial" w:hAnsi="Arial" w:cs="Arial"/>
          <w:sz w:val="22"/>
        </w:rPr>
        <w:t>Priporočila in predlogi</w:t>
      </w:r>
    </w:p>
    <w:p w:rsidR="00A913C9" w:rsidRPr="00FD630C" w:rsidRDefault="008A1379" w:rsidP="00085EC4">
      <w:pPr>
        <w:jc w:val="both"/>
      </w:pPr>
      <w:r w:rsidRPr="00FD630C">
        <w:t>Nadzorni odbor kot pozitivno ocenjuje uporabo mednarodnih splošnih določil za gradbene pogodbe - FIDIC in predlaga, da se ta praksa uporablja tudi v naprej.</w:t>
      </w:r>
    </w:p>
    <w:p w:rsidR="00A913C9" w:rsidRPr="00FD630C" w:rsidRDefault="0047517B" w:rsidP="00085EC4">
      <w:pPr>
        <w:pStyle w:val="Naslov2"/>
        <w:spacing w:before="360" w:after="80"/>
        <w:contextualSpacing w:val="0"/>
        <w:jc w:val="both"/>
        <w:rPr>
          <w:rFonts w:ascii="Arial" w:eastAsia="Arial" w:hAnsi="Arial" w:cs="Arial"/>
          <w:color w:val="auto"/>
          <w:sz w:val="22"/>
        </w:rPr>
      </w:pPr>
      <w:bookmarkStart w:id="4" w:name="h.mq5jg9mht1uy" w:colFirst="0" w:colLast="0"/>
      <w:bookmarkEnd w:id="4"/>
      <w:r w:rsidRPr="00FD630C">
        <w:rPr>
          <w:rFonts w:ascii="Arial" w:eastAsia="Arial" w:hAnsi="Arial" w:cs="Arial"/>
          <w:color w:val="auto"/>
          <w:sz w:val="22"/>
        </w:rPr>
        <w:t>Odziv nadzorovane osebe</w:t>
      </w:r>
    </w:p>
    <w:p w:rsidR="0047517B" w:rsidRPr="00FD630C" w:rsidRDefault="0047517B" w:rsidP="0047517B">
      <w:pPr>
        <w:rPr>
          <w:color w:val="auto"/>
        </w:rPr>
      </w:pPr>
      <w:r w:rsidRPr="00FD630C">
        <w:rPr>
          <w:rFonts w:eastAsia="Times New Roman"/>
          <w:color w:val="auto"/>
        </w:rPr>
        <w:t xml:space="preserve">Nadzorovana oseba ni imela pripomb na osnutek poročila. </w:t>
      </w:r>
    </w:p>
    <w:p w:rsidR="00A913C9" w:rsidRPr="00FD630C" w:rsidRDefault="00A913C9" w:rsidP="00085EC4">
      <w:pPr>
        <w:jc w:val="both"/>
      </w:pPr>
    </w:p>
    <w:p w:rsidR="00A913C9" w:rsidRPr="00FD630C" w:rsidRDefault="00A913C9" w:rsidP="00085EC4">
      <w:pPr>
        <w:jc w:val="both"/>
      </w:pPr>
    </w:p>
    <w:p w:rsidR="000B6D7B" w:rsidRPr="00FD630C" w:rsidRDefault="000B6D7B" w:rsidP="00085EC4">
      <w:pPr>
        <w:jc w:val="both"/>
      </w:pPr>
    </w:p>
    <w:p w:rsidR="00A913C9" w:rsidRPr="00FD630C" w:rsidRDefault="00A913C9"/>
    <w:p w:rsidR="00A913C9" w:rsidRPr="00FD630C" w:rsidRDefault="008A1379" w:rsidP="000850FB">
      <w:r w:rsidRPr="00FD630C">
        <w:tab/>
      </w:r>
      <w:r w:rsidRPr="00FD630C">
        <w:tab/>
      </w:r>
      <w:r w:rsidRPr="00FD630C">
        <w:tab/>
      </w:r>
      <w:r w:rsidRPr="00FD630C">
        <w:tab/>
      </w:r>
      <w:r w:rsidRPr="00FD630C">
        <w:tab/>
      </w:r>
      <w:r w:rsidRPr="00FD630C">
        <w:tab/>
      </w:r>
      <w:r w:rsidRPr="00FD630C">
        <w:tab/>
      </w:r>
      <w:r w:rsidR="000850FB" w:rsidRPr="00FD630C">
        <w:t>predsednik Nadzornega odbora</w:t>
      </w:r>
    </w:p>
    <w:p w:rsidR="000850FB" w:rsidRPr="00FD630C" w:rsidRDefault="000850FB" w:rsidP="000850FB">
      <w:r w:rsidRPr="00FD630C">
        <w:t xml:space="preserve">                                                                                              Darko Končan, l.r.</w:t>
      </w:r>
    </w:p>
    <w:p w:rsidR="00A913C9" w:rsidRPr="00FD630C" w:rsidRDefault="00A913C9"/>
    <w:p w:rsidR="00A913C9" w:rsidRPr="00FD630C" w:rsidRDefault="00A913C9"/>
    <w:p w:rsidR="000B6D7B" w:rsidRPr="00FD630C" w:rsidRDefault="000B6D7B"/>
    <w:p w:rsidR="000B6D7B" w:rsidRPr="00FD630C" w:rsidRDefault="000B6D7B"/>
    <w:p w:rsidR="00085EC4" w:rsidRPr="00FD630C" w:rsidRDefault="00085EC4"/>
    <w:p w:rsidR="0047517B" w:rsidRPr="00FD630C" w:rsidRDefault="0047517B"/>
    <w:p w:rsidR="000B6D7B" w:rsidRPr="00FD630C" w:rsidRDefault="000B6D7B"/>
    <w:p w:rsidR="00A913C9" w:rsidRPr="00FD630C" w:rsidRDefault="00A913C9">
      <w:bookmarkStart w:id="5" w:name="_GoBack"/>
      <w:bookmarkEnd w:id="5"/>
    </w:p>
    <w:p w:rsidR="00A913C9" w:rsidRPr="00FD630C" w:rsidRDefault="00A913C9"/>
    <w:sectPr w:rsidR="00A913C9" w:rsidRPr="00FD630C" w:rsidSect="00E03C99">
      <w:pgSz w:w="12240" w:h="15840"/>
      <w:pgMar w:top="1134" w:right="1418" w:bottom="1134" w:left="1418"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6A90"/>
    <w:multiLevelType w:val="multilevel"/>
    <w:tmpl w:val="BAC0FA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B0A03D1"/>
    <w:multiLevelType w:val="multilevel"/>
    <w:tmpl w:val="18142DE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6FF26217"/>
    <w:multiLevelType w:val="multilevel"/>
    <w:tmpl w:val="B24C9914"/>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defaultTabStop w:val="720"/>
  <w:hyphenationZone w:val="425"/>
  <w:characterSpacingControl w:val="doNotCompress"/>
  <w:compat>
    <w:useFELayout/>
    <w:compatSetting w:name="compatibilityMode" w:uri="http://schemas.microsoft.com/office/word" w:val="14"/>
  </w:compat>
  <w:rsids>
    <w:rsidRoot w:val="00A913C9"/>
    <w:rsid w:val="000850FB"/>
    <w:rsid w:val="00085EC4"/>
    <w:rsid w:val="000B6D7B"/>
    <w:rsid w:val="0015457A"/>
    <w:rsid w:val="00167810"/>
    <w:rsid w:val="00247F90"/>
    <w:rsid w:val="00292736"/>
    <w:rsid w:val="00294E1D"/>
    <w:rsid w:val="00384171"/>
    <w:rsid w:val="003E2A07"/>
    <w:rsid w:val="003E499F"/>
    <w:rsid w:val="0047517B"/>
    <w:rsid w:val="005B4494"/>
    <w:rsid w:val="00762E00"/>
    <w:rsid w:val="00843E61"/>
    <w:rsid w:val="008A1379"/>
    <w:rsid w:val="008F74B4"/>
    <w:rsid w:val="00A82ADA"/>
    <w:rsid w:val="00A913C9"/>
    <w:rsid w:val="00B27854"/>
    <w:rsid w:val="00C65D32"/>
    <w:rsid w:val="00CD2E08"/>
    <w:rsid w:val="00E03C99"/>
    <w:rsid w:val="00E87AFF"/>
    <w:rsid w:val="00FD630C"/>
    <w:rsid w:val="00FF5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pacing w:after="0"/>
    </w:pPr>
    <w:rPr>
      <w:rFonts w:ascii="Arial" w:eastAsia="Arial" w:hAnsi="Arial" w:cs="Arial"/>
      <w:color w:val="000000"/>
    </w:rPr>
  </w:style>
  <w:style w:type="paragraph" w:styleId="Naslov1">
    <w:name w:val="heading 1"/>
    <w:basedOn w:val="Navaden"/>
    <w:next w:val="Navaden"/>
    <w:pPr>
      <w:spacing w:before="200"/>
      <w:contextualSpacing/>
      <w:outlineLvl w:val="0"/>
    </w:pPr>
    <w:rPr>
      <w:rFonts w:ascii="Trebuchet MS" w:eastAsia="Trebuchet MS" w:hAnsi="Trebuchet MS" w:cs="Trebuchet MS"/>
      <w:sz w:val="32"/>
    </w:rPr>
  </w:style>
  <w:style w:type="paragraph" w:styleId="Naslov2">
    <w:name w:val="heading 2"/>
    <w:basedOn w:val="Navaden"/>
    <w:next w:val="Navaden"/>
    <w:pPr>
      <w:spacing w:before="200"/>
      <w:contextualSpacing/>
      <w:outlineLvl w:val="1"/>
    </w:pPr>
    <w:rPr>
      <w:rFonts w:ascii="Trebuchet MS" w:eastAsia="Trebuchet MS" w:hAnsi="Trebuchet MS" w:cs="Trebuchet MS"/>
      <w:b/>
      <w:sz w:val="26"/>
    </w:rPr>
  </w:style>
  <w:style w:type="paragraph" w:styleId="Naslov3">
    <w:name w:val="heading 3"/>
    <w:basedOn w:val="Navaden"/>
    <w:next w:val="Navaden"/>
    <w:pPr>
      <w:spacing w:before="160"/>
      <w:contextualSpacing/>
      <w:outlineLvl w:val="2"/>
    </w:pPr>
    <w:rPr>
      <w:rFonts w:ascii="Trebuchet MS" w:eastAsia="Trebuchet MS" w:hAnsi="Trebuchet MS" w:cs="Trebuchet MS"/>
      <w:b/>
      <w:color w:val="666666"/>
      <w:sz w:val="24"/>
    </w:rPr>
  </w:style>
  <w:style w:type="paragraph" w:styleId="Naslov4">
    <w:name w:val="heading 4"/>
    <w:basedOn w:val="Navaden"/>
    <w:next w:val="Navaden"/>
    <w:pPr>
      <w:spacing w:before="160"/>
      <w:contextualSpacing/>
      <w:outlineLvl w:val="3"/>
    </w:pPr>
    <w:rPr>
      <w:rFonts w:ascii="Trebuchet MS" w:eastAsia="Trebuchet MS" w:hAnsi="Trebuchet MS" w:cs="Trebuchet MS"/>
      <w:color w:val="666666"/>
      <w:u w:val="single"/>
    </w:rPr>
  </w:style>
  <w:style w:type="paragraph" w:styleId="Naslov5">
    <w:name w:val="heading 5"/>
    <w:basedOn w:val="Navaden"/>
    <w:next w:val="Navaden"/>
    <w:pPr>
      <w:spacing w:before="160"/>
      <w:contextualSpacing/>
      <w:outlineLvl w:val="4"/>
    </w:pPr>
    <w:rPr>
      <w:rFonts w:ascii="Trebuchet MS" w:eastAsia="Trebuchet MS" w:hAnsi="Trebuchet MS" w:cs="Trebuchet MS"/>
      <w:color w:val="666666"/>
    </w:rPr>
  </w:style>
  <w:style w:type="paragraph" w:styleId="Naslov6">
    <w:name w:val="heading 6"/>
    <w:basedOn w:val="Navaden"/>
    <w:next w:val="Navaden"/>
    <w:pPr>
      <w:spacing w:before="160"/>
      <w:contextualSpacing/>
      <w:outlineLvl w:val="5"/>
    </w:pPr>
    <w:rPr>
      <w:rFonts w:ascii="Trebuchet MS" w:eastAsia="Trebuchet MS" w:hAnsi="Trebuchet MS" w:cs="Trebuchet MS"/>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contextualSpacing/>
    </w:pPr>
    <w:rPr>
      <w:rFonts w:ascii="Trebuchet MS" w:eastAsia="Trebuchet MS" w:hAnsi="Trebuchet MS" w:cs="Trebuchet MS"/>
      <w:sz w:val="42"/>
    </w:rPr>
  </w:style>
  <w:style w:type="paragraph" w:styleId="Podnaslov">
    <w:name w:val="Subtitle"/>
    <w:basedOn w:val="Navaden"/>
    <w:next w:val="Navaden"/>
    <w:pPr>
      <w:spacing w:after="200"/>
      <w:contextualSpacing/>
    </w:pPr>
    <w:rPr>
      <w:rFonts w:ascii="Trebuchet MS" w:eastAsia="Trebuchet MS" w:hAnsi="Trebuchet MS" w:cs="Trebuchet MS"/>
      <w:i/>
      <w:color w:val="666666"/>
      <w:sz w:val="26"/>
    </w:rPr>
  </w:style>
  <w:style w:type="paragraph" w:styleId="Besedilooblaka">
    <w:name w:val="Balloon Text"/>
    <w:basedOn w:val="Navaden"/>
    <w:link w:val="BesedilooblakaZnak"/>
    <w:uiPriority w:val="99"/>
    <w:semiHidden/>
    <w:unhideWhenUsed/>
    <w:rsid w:val="00E03C9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3C99"/>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pPr>
      <w:spacing w:after="0"/>
    </w:pPr>
    <w:rPr>
      <w:rFonts w:ascii="Arial" w:eastAsia="Arial" w:hAnsi="Arial" w:cs="Arial"/>
      <w:color w:val="000000"/>
    </w:rPr>
  </w:style>
  <w:style w:type="paragraph" w:styleId="Naslov1">
    <w:name w:val="heading 1"/>
    <w:basedOn w:val="Navaden"/>
    <w:next w:val="Navaden"/>
    <w:pPr>
      <w:spacing w:before="200"/>
      <w:contextualSpacing/>
      <w:outlineLvl w:val="0"/>
    </w:pPr>
    <w:rPr>
      <w:rFonts w:ascii="Trebuchet MS" w:eastAsia="Trebuchet MS" w:hAnsi="Trebuchet MS" w:cs="Trebuchet MS"/>
      <w:sz w:val="32"/>
    </w:rPr>
  </w:style>
  <w:style w:type="paragraph" w:styleId="Naslov2">
    <w:name w:val="heading 2"/>
    <w:basedOn w:val="Navaden"/>
    <w:next w:val="Navaden"/>
    <w:pPr>
      <w:spacing w:before="200"/>
      <w:contextualSpacing/>
      <w:outlineLvl w:val="1"/>
    </w:pPr>
    <w:rPr>
      <w:rFonts w:ascii="Trebuchet MS" w:eastAsia="Trebuchet MS" w:hAnsi="Trebuchet MS" w:cs="Trebuchet MS"/>
      <w:b/>
      <w:sz w:val="26"/>
    </w:rPr>
  </w:style>
  <w:style w:type="paragraph" w:styleId="Naslov3">
    <w:name w:val="heading 3"/>
    <w:basedOn w:val="Navaden"/>
    <w:next w:val="Navaden"/>
    <w:pPr>
      <w:spacing w:before="160"/>
      <w:contextualSpacing/>
      <w:outlineLvl w:val="2"/>
    </w:pPr>
    <w:rPr>
      <w:rFonts w:ascii="Trebuchet MS" w:eastAsia="Trebuchet MS" w:hAnsi="Trebuchet MS" w:cs="Trebuchet MS"/>
      <w:b/>
      <w:color w:val="666666"/>
      <w:sz w:val="24"/>
    </w:rPr>
  </w:style>
  <w:style w:type="paragraph" w:styleId="Naslov4">
    <w:name w:val="heading 4"/>
    <w:basedOn w:val="Navaden"/>
    <w:next w:val="Navaden"/>
    <w:pPr>
      <w:spacing w:before="160"/>
      <w:contextualSpacing/>
      <w:outlineLvl w:val="3"/>
    </w:pPr>
    <w:rPr>
      <w:rFonts w:ascii="Trebuchet MS" w:eastAsia="Trebuchet MS" w:hAnsi="Trebuchet MS" w:cs="Trebuchet MS"/>
      <w:color w:val="666666"/>
      <w:u w:val="single"/>
    </w:rPr>
  </w:style>
  <w:style w:type="paragraph" w:styleId="Naslov5">
    <w:name w:val="heading 5"/>
    <w:basedOn w:val="Navaden"/>
    <w:next w:val="Navaden"/>
    <w:pPr>
      <w:spacing w:before="160"/>
      <w:contextualSpacing/>
      <w:outlineLvl w:val="4"/>
    </w:pPr>
    <w:rPr>
      <w:rFonts w:ascii="Trebuchet MS" w:eastAsia="Trebuchet MS" w:hAnsi="Trebuchet MS" w:cs="Trebuchet MS"/>
      <w:color w:val="666666"/>
    </w:rPr>
  </w:style>
  <w:style w:type="paragraph" w:styleId="Naslov6">
    <w:name w:val="heading 6"/>
    <w:basedOn w:val="Navaden"/>
    <w:next w:val="Navaden"/>
    <w:pPr>
      <w:spacing w:before="160"/>
      <w:contextualSpacing/>
      <w:outlineLvl w:val="5"/>
    </w:pPr>
    <w:rPr>
      <w:rFonts w:ascii="Trebuchet MS" w:eastAsia="Trebuchet MS" w:hAnsi="Trebuchet MS" w:cs="Trebuchet MS"/>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contextualSpacing/>
    </w:pPr>
    <w:rPr>
      <w:rFonts w:ascii="Trebuchet MS" w:eastAsia="Trebuchet MS" w:hAnsi="Trebuchet MS" w:cs="Trebuchet MS"/>
      <w:sz w:val="42"/>
    </w:rPr>
  </w:style>
  <w:style w:type="paragraph" w:styleId="Podnaslov">
    <w:name w:val="Subtitle"/>
    <w:basedOn w:val="Navaden"/>
    <w:next w:val="Navaden"/>
    <w:pPr>
      <w:spacing w:after="200"/>
      <w:contextualSpacing/>
    </w:pPr>
    <w:rPr>
      <w:rFonts w:ascii="Trebuchet MS" w:eastAsia="Trebuchet MS" w:hAnsi="Trebuchet MS" w:cs="Trebuchet MS"/>
      <w:i/>
      <w:color w:val="666666"/>
      <w:sz w:val="26"/>
    </w:rPr>
  </w:style>
  <w:style w:type="paragraph" w:styleId="Besedilooblaka">
    <w:name w:val="Balloon Text"/>
    <w:basedOn w:val="Navaden"/>
    <w:link w:val="BesedilooblakaZnak"/>
    <w:uiPriority w:val="99"/>
    <w:semiHidden/>
    <w:unhideWhenUsed/>
    <w:rsid w:val="00E03C99"/>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3C99"/>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0F32-B622-48AC-8E53-7479E3E7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619</Words>
  <Characters>3534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Osnutek poročila - jefačnkova domačija.docx</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Osnutek poročila - jefačnkova domačija.docx</dc:title>
  <cp:lastModifiedBy>Barbara Gradišek</cp:lastModifiedBy>
  <cp:revision>26</cp:revision>
  <cp:lastPrinted>2014-02-25T09:26:00Z</cp:lastPrinted>
  <dcterms:created xsi:type="dcterms:W3CDTF">2014-01-03T07:43:00Z</dcterms:created>
  <dcterms:modified xsi:type="dcterms:W3CDTF">2014-03-20T09:28:00Z</dcterms:modified>
</cp:coreProperties>
</file>