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1C15" w:rsidRDefault="00891070">
      <w:r>
        <w:rPr>
          <w:b/>
        </w:rPr>
        <w:t>NADZORNI ODBOR</w:t>
      </w:r>
    </w:p>
    <w:p w:rsidR="00801C15" w:rsidRDefault="00891070">
      <w:r>
        <w:t>Občine Trzin</w:t>
      </w:r>
    </w:p>
    <w:p w:rsidR="00801C15" w:rsidRDefault="00891070">
      <w:r>
        <w:t>Mengeška c. 22, 1236 Trzin</w:t>
      </w:r>
    </w:p>
    <w:p w:rsidR="00801C15" w:rsidRDefault="00801C15"/>
    <w:p w:rsidR="00801C15" w:rsidRPr="00D74006" w:rsidRDefault="00710C2C">
      <w:pPr>
        <w:rPr>
          <w:color w:val="auto"/>
        </w:rPr>
      </w:pPr>
      <w:r>
        <w:rPr>
          <w:color w:val="auto"/>
        </w:rPr>
        <w:t>Številka: 060-3/2011-24</w:t>
      </w:r>
    </w:p>
    <w:p w:rsidR="00801C15" w:rsidRPr="00D74006" w:rsidRDefault="00365AEB">
      <w:pPr>
        <w:rPr>
          <w:color w:val="auto"/>
        </w:rPr>
      </w:pPr>
      <w:r w:rsidRPr="00D74006">
        <w:rPr>
          <w:color w:val="auto"/>
        </w:rPr>
        <w:t>Datum: 26</w:t>
      </w:r>
      <w:r w:rsidR="00C03814" w:rsidRPr="00D74006">
        <w:rPr>
          <w:color w:val="auto"/>
        </w:rPr>
        <w:t>.3.2013</w:t>
      </w:r>
    </w:p>
    <w:p w:rsidR="00801C15" w:rsidRDefault="00801C15"/>
    <w:p w:rsidR="00801C15" w:rsidRPr="00D74006" w:rsidRDefault="0076065F" w:rsidP="0076065F">
      <w:pPr>
        <w:jc w:val="both"/>
        <w:rPr>
          <w:color w:val="auto"/>
        </w:rPr>
      </w:pPr>
      <w:r>
        <w:t>N</w:t>
      </w:r>
      <w:r w:rsidR="00891070">
        <w:t>a podlagi 42.</w:t>
      </w:r>
      <w:r w:rsidR="004F4AB8">
        <w:t xml:space="preserve"> člena Statuta Občine Trzin (Uradni</w:t>
      </w:r>
      <w:r w:rsidR="00891070">
        <w:t xml:space="preserve"> vestnik Občine Trzin, št. 2/99, 4/2000, 5/03, 2/06 in 8/06) in 29. člena Poslovnika Nadzornega odbora Občine Trzin (Ur. vestnik Občine Trzin, št. 9/07) je Nad</w:t>
      </w:r>
      <w:r w:rsidR="00365AEB">
        <w:t xml:space="preserve">zorni odbor občine Trzin na </w:t>
      </w:r>
      <w:r w:rsidR="00365AEB" w:rsidRPr="00D74006">
        <w:rPr>
          <w:color w:val="auto"/>
        </w:rPr>
        <w:t>8. korespondenčni</w:t>
      </w:r>
      <w:r w:rsidR="00C03814" w:rsidRPr="00D74006">
        <w:rPr>
          <w:color w:val="auto"/>
        </w:rPr>
        <w:t xml:space="preserve"> s</w:t>
      </w:r>
      <w:r w:rsidR="00365AEB" w:rsidRPr="00D74006">
        <w:rPr>
          <w:color w:val="auto"/>
        </w:rPr>
        <w:t>eji z dne 26</w:t>
      </w:r>
      <w:r w:rsidR="0014359A" w:rsidRPr="00D74006">
        <w:rPr>
          <w:color w:val="auto"/>
        </w:rPr>
        <w:t>.3.2013</w:t>
      </w:r>
      <w:r w:rsidR="00891070" w:rsidRPr="00D74006">
        <w:rPr>
          <w:color w:val="auto"/>
        </w:rPr>
        <w:t xml:space="preserve"> sprejel</w:t>
      </w:r>
    </w:p>
    <w:p w:rsidR="0076065F" w:rsidRPr="00D74006" w:rsidRDefault="0076065F" w:rsidP="0076065F">
      <w:pPr>
        <w:jc w:val="both"/>
        <w:rPr>
          <w:color w:val="auto"/>
        </w:rPr>
      </w:pPr>
    </w:p>
    <w:p w:rsidR="00801C15" w:rsidRPr="00D74006" w:rsidRDefault="00365AEB">
      <w:pPr>
        <w:jc w:val="center"/>
        <w:rPr>
          <w:color w:val="auto"/>
        </w:rPr>
      </w:pPr>
      <w:r w:rsidRPr="00D74006">
        <w:rPr>
          <w:b/>
          <w:color w:val="auto"/>
        </w:rPr>
        <w:t>KONČNO POROČILO</w:t>
      </w:r>
      <w:r w:rsidR="00891070" w:rsidRPr="00D74006">
        <w:rPr>
          <w:b/>
          <w:color w:val="auto"/>
        </w:rPr>
        <w:t xml:space="preserve"> NADZORNEGA ODBORA </w:t>
      </w:r>
    </w:p>
    <w:p w:rsidR="00801C15" w:rsidRDefault="00891070">
      <w:pPr>
        <w:jc w:val="center"/>
      </w:pPr>
      <w:r>
        <w:rPr>
          <w:b/>
        </w:rPr>
        <w:t>O NADZORU NAD FINANCIRANJEM GRADNJE VRTCA</w:t>
      </w:r>
    </w:p>
    <w:p w:rsidR="00801C15" w:rsidRDefault="00801C15"/>
    <w:p w:rsidR="00801C15" w:rsidRDefault="00891070">
      <w:r>
        <w:rPr>
          <w:b/>
        </w:rPr>
        <w:t>Ime nadzorovanega organa:</w:t>
      </w:r>
    </w:p>
    <w:p w:rsidR="00801C15" w:rsidRDefault="00801C15"/>
    <w:p w:rsidR="00801C15" w:rsidRDefault="00891070">
      <w:r>
        <w:rPr>
          <w:b/>
        </w:rPr>
        <w:t>Občina Trzin</w:t>
      </w:r>
    </w:p>
    <w:p w:rsidR="00801C15" w:rsidRDefault="00891070">
      <w:r>
        <w:t>Mengeška 22</w:t>
      </w:r>
    </w:p>
    <w:p w:rsidR="00801C15" w:rsidRDefault="00891070">
      <w:r>
        <w:t>1236 Trzin</w:t>
      </w:r>
    </w:p>
    <w:p w:rsidR="00801C15" w:rsidRDefault="00801C15"/>
    <w:p w:rsidR="00801C15" w:rsidRDefault="00891070">
      <w:r>
        <w:rPr>
          <w:b/>
        </w:rPr>
        <w:t>Odgovorna oseba nadzorovane osebe:</w:t>
      </w:r>
    </w:p>
    <w:p w:rsidR="00801C15" w:rsidRDefault="00891070">
      <w:r>
        <w:t>Tone Peršak, župan</w:t>
      </w:r>
    </w:p>
    <w:p w:rsidR="00801C15" w:rsidRDefault="00891070">
      <w:pPr>
        <w:pStyle w:val="Naslov2"/>
      </w:pPr>
      <w:bookmarkStart w:id="0" w:name="h.uwnowsbnqsdg" w:colFirst="0" w:colLast="0"/>
      <w:bookmarkEnd w:id="0"/>
      <w:r>
        <w:t>Uvod</w:t>
      </w:r>
    </w:p>
    <w:p w:rsidR="00801C15" w:rsidRDefault="00891070" w:rsidP="005C2D04">
      <w:pPr>
        <w:jc w:val="both"/>
      </w:pPr>
      <w:r>
        <w:t>Nadzorni odbor Občine Trzin je na svoji 2. redni seji dne 16.3.2011 sprejel sklep o ustanovitvi</w:t>
      </w:r>
      <w:r w:rsidR="005C2D04">
        <w:t xml:space="preserve"> </w:t>
      </w:r>
      <w:r>
        <w:t xml:space="preserve">delovne skupine za nadzor nad financiranjem </w:t>
      </w:r>
      <w:r w:rsidR="005C2D04">
        <w:t>i</w:t>
      </w:r>
      <w:r>
        <w:t>zgradnje vrtca. V delovno skupino sta bila</w:t>
      </w:r>
      <w:r w:rsidR="005C2D04">
        <w:t xml:space="preserve"> </w:t>
      </w:r>
      <w:r>
        <w:t>imenovana Marko Pavlišič in Cvetka Lippai. Na svoji 3. redni seji dne 13.4.2011 pa je Nadzorni odbor sprejel še sklep da se nadzor prične takoj, in ne pa šele po dokončanju projekta.</w:t>
      </w:r>
    </w:p>
    <w:p w:rsidR="00801C15" w:rsidRDefault="00801C15" w:rsidP="005C2D04">
      <w:pPr>
        <w:jc w:val="both"/>
      </w:pPr>
    </w:p>
    <w:p w:rsidR="00801C15" w:rsidRDefault="00891070" w:rsidP="005C2D04">
      <w:pPr>
        <w:tabs>
          <w:tab w:val="left" w:pos="4035"/>
        </w:tabs>
        <w:jc w:val="both"/>
      </w:pPr>
      <w:r>
        <w:t>Namen in cilj nadzora:</w:t>
      </w:r>
      <w:r w:rsidR="005C2D04">
        <w:tab/>
      </w:r>
    </w:p>
    <w:p w:rsidR="00801C15" w:rsidRDefault="00891070" w:rsidP="005C2D04">
      <w:pPr>
        <w:numPr>
          <w:ilvl w:val="0"/>
          <w:numId w:val="1"/>
        </w:numPr>
        <w:ind w:hanging="359"/>
        <w:jc w:val="both"/>
      </w:pPr>
      <w:r>
        <w:t>preveriti skladnost finančnega poslovanja z zakoni in podzakonskimi akti ter preglednost poslovanja;</w:t>
      </w:r>
    </w:p>
    <w:p w:rsidR="00801C15" w:rsidRDefault="00891070" w:rsidP="005C2D04">
      <w:pPr>
        <w:numPr>
          <w:ilvl w:val="0"/>
          <w:numId w:val="1"/>
        </w:numPr>
        <w:ind w:hanging="359"/>
        <w:jc w:val="both"/>
      </w:pPr>
      <w:r>
        <w:t>preveriti skladnost finančnega poslovanja s proračunom Občine Trzin;</w:t>
      </w:r>
    </w:p>
    <w:p w:rsidR="00801C15" w:rsidRDefault="00891070" w:rsidP="005C2D04">
      <w:pPr>
        <w:numPr>
          <w:ilvl w:val="0"/>
          <w:numId w:val="1"/>
        </w:numPr>
        <w:ind w:hanging="359"/>
        <w:jc w:val="both"/>
      </w:pPr>
      <w:r>
        <w:t>ugotoviti pravilnost vodenja poslovnih knjig;</w:t>
      </w:r>
    </w:p>
    <w:p w:rsidR="00801C15" w:rsidRDefault="00891070" w:rsidP="005C2D04">
      <w:pPr>
        <w:numPr>
          <w:ilvl w:val="0"/>
          <w:numId w:val="1"/>
        </w:numPr>
        <w:ind w:hanging="359"/>
        <w:jc w:val="both"/>
      </w:pPr>
      <w:r>
        <w:t>poročati o ugotovljenih nepravilnostih;</w:t>
      </w:r>
    </w:p>
    <w:p w:rsidR="00801C15" w:rsidRDefault="00891070" w:rsidP="005C2D04">
      <w:pPr>
        <w:numPr>
          <w:ilvl w:val="0"/>
          <w:numId w:val="1"/>
        </w:numPr>
        <w:ind w:hanging="359"/>
        <w:jc w:val="both"/>
      </w:pPr>
      <w:r>
        <w:t>podati priporočila in predloge za nadaljnje poslovanje organa.</w:t>
      </w:r>
    </w:p>
    <w:p w:rsidR="00801C15" w:rsidRPr="005C2D04" w:rsidRDefault="00891070" w:rsidP="005C2D04">
      <w:pPr>
        <w:pStyle w:val="Naslov2"/>
        <w:jc w:val="both"/>
        <w:rPr>
          <w:sz w:val="22"/>
        </w:rPr>
      </w:pPr>
      <w:bookmarkStart w:id="1" w:name="h.husn25t81hyw" w:colFirst="0" w:colLast="0"/>
      <w:bookmarkEnd w:id="1"/>
      <w:r w:rsidRPr="005C2D04">
        <w:rPr>
          <w:sz w:val="22"/>
        </w:rPr>
        <w:t>Povzetek opravljenih nadzorov</w:t>
      </w:r>
    </w:p>
    <w:p w:rsidR="00801C15" w:rsidRPr="005C2D04" w:rsidRDefault="00891070" w:rsidP="005C2D04">
      <w:pPr>
        <w:jc w:val="both"/>
      </w:pPr>
      <w:r w:rsidRPr="005C2D04">
        <w:rPr>
          <w:color w:val="222222"/>
          <w:highlight w:val="white"/>
        </w:rPr>
        <w:t xml:space="preserve">Občina Trzin je na javnem razpisu izbrala izvajalca </w:t>
      </w:r>
      <w:proofErr w:type="spellStart"/>
      <w:r w:rsidRPr="005C2D04">
        <w:rPr>
          <w:color w:val="222222"/>
          <w:highlight w:val="white"/>
        </w:rPr>
        <w:t>SGP</w:t>
      </w:r>
      <w:proofErr w:type="spellEnd"/>
      <w:r w:rsidRPr="005C2D04">
        <w:rPr>
          <w:color w:val="222222"/>
          <w:highlight w:val="white"/>
        </w:rPr>
        <w:t xml:space="preserve"> Tehnik d.d., in z njim 15.10.2010 sklenil</w:t>
      </w:r>
      <w:r>
        <w:rPr>
          <w:color w:val="222222"/>
          <w:highlight w:val="white"/>
        </w:rPr>
        <w:t>a pogodbo za izgradnjo novega v</w:t>
      </w:r>
      <w:r w:rsidRPr="005C2D04">
        <w:rPr>
          <w:color w:val="222222"/>
          <w:highlight w:val="white"/>
        </w:rPr>
        <w:t xml:space="preserve">rtca v vrednosti 1.755.094 EUR + DDV. Zaradi neizpolnjevanja obveznosti izvajalca je Občina pogodbo prekinila in z izvajalcem sklenila sporazum, ter nato sklenila novo pogodbo dne 19.8.2011 z novim izvajalcem Jelovica Hiše </w:t>
      </w:r>
      <w:r w:rsidRPr="005C2D04">
        <w:rPr>
          <w:color w:val="222222"/>
          <w:highlight w:val="white"/>
        </w:rPr>
        <w:lastRenderedPageBreak/>
        <w:t>d.o.o., v vrednosti 1.691.000 + DDV. Delovna skupina NO je to pregledala leta 2011 in o tem izdala vmesno poročilo števila 060-3/2011 z dne 20.10.2011.</w:t>
      </w:r>
    </w:p>
    <w:p w:rsidR="0076065F" w:rsidRDefault="0076065F" w:rsidP="005C2D04">
      <w:pPr>
        <w:jc w:val="both"/>
        <w:rPr>
          <w:color w:val="222222"/>
          <w:highlight w:val="white"/>
        </w:rPr>
      </w:pPr>
    </w:p>
    <w:p w:rsidR="00801C15" w:rsidRPr="005C2D04" w:rsidRDefault="00891070" w:rsidP="005C2D04">
      <w:pPr>
        <w:jc w:val="both"/>
      </w:pPr>
      <w:r w:rsidRPr="005C2D04">
        <w:rPr>
          <w:color w:val="222222"/>
          <w:highlight w:val="white"/>
        </w:rPr>
        <w:t xml:space="preserve">Zaradi zapletov pri prvem izvajalcu, je </w:t>
      </w:r>
      <w:r w:rsidRPr="005C2D04">
        <w:rPr>
          <w:b/>
          <w:color w:val="222222"/>
          <w:highlight w:val="white"/>
        </w:rPr>
        <w:t xml:space="preserve">NO projekt redno spremljal na praktično vsaki seji NO in bil sprotno obveščen o vseh spremembah, dogovorih in sklepih ter </w:t>
      </w:r>
      <w:r w:rsidR="00E56F86">
        <w:rPr>
          <w:b/>
          <w:color w:val="222222"/>
          <w:highlight w:val="white"/>
        </w:rPr>
        <w:t>se tudi udeležil nekaterih sestankov</w:t>
      </w:r>
      <w:r w:rsidRPr="005C2D04">
        <w:rPr>
          <w:color w:val="222222"/>
          <w:highlight w:val="white"/>
        </w:rPr>
        <w:t xml:space="preserve"> z izvajalcem.</w:t>
      </w:r>
    </w:p>
    <w:p w:rsidR="00801C15" w:rsidRPr="005C2D04" w:rsidRDefault="00801C15" w:rsidP="005C2D04">
      <w:pPr>
        <w:jc w:val="both"/>
      </w:pPr>
    </w:p>
    <w:p w:rsidR="00801C15" w:rsidRPr="005C2D04" w:rsidRDefault="00891070" w:rsidP="005C2D04">
      <w:pPr>
        <w:jc w:val="both"/>
      </w:pPr>
      <w:r w:rsidRPr="005C2D04">
        <w:rPr>
          <w:color w:val="222222"/>
          <w:highlight w:val="white"/>
        </w:rPr>
        <w:t>Končni pregled dokumentacije je delovna skupina opravila 28.2.2013.</w:t>
      </w:r>
    </w:p>
    <w:p w:rsidR="00801C15" w:rsidRPr="005C2D04" w:rsidRDefault="00801C15" w:rsidP="005C2D04">
      <w:pPr>
        <w:jc w:val="both"/>
      </w:pPr>
    </w:p>
    <w:p w:rsidR="00801C15" w:rsidRPr="005C2D04" w:rsidRDefault="00891070" w:rsidP="005C2D04">
      <w:pPr>
        <w:jc w:val="both"/>
      </w:pPr>
      <w:r w:rsidRPr="005C2D04">
        <w:rPr>
          <w:color w:val="222222"/>
          <w:highlight w:val="white"/>
        </w:rPr>
        <w:t>Občina in izvajalec sta po osnovni pogodbi podpisala še naslednje anekse:</w:t>
      </w:r>
    </w:p>
    <w:p w:rsidR="00801C15" w:rsidRPr="005C2D04" w:rsidRDefault="00891070" w:rsidP="005C2D04">
      <w:pPr>
        <w:numPr>
          <w:ilvl w:val="0"/>
          <w:numId w:val="4"/>
        </w:numPr>
        <w:ind w:hanging="359"/>
        <w:jc w:val="both"/>
      </w:pPr>
      <w:r w:rsidRPr="005C2D04">
        <w:rPr>
          <w:color w:val="222222"/>
          <w:highlight w:val="white"/>
        </w:rPr>
        <w:t xml:space="preserve">Aneks št. 1. z dne 22.8.2011 vrednostno ne spreminja projekta, določa le nov datum izdelave in predaje projektov </w:t>
      </w:r>
      <w:proofErr w:type="spellStart"/>
      <w:r w:rsidRPr="005C2D04">
        <w:rPr>
          <w:color w:val="222222"/>
          <w:highlight w:val="white"/>
        </w:rPr>
        <w:t>PZI</w:t>
      </w:r>
      <w:proofErr w:type="spellEnd"/>
      <w:r w:rsidRPr="005C2D04">
        <w:rPr>
          <w:color w:val="222222"/>
          <w:highlight w:val="white"/>
        </w:rPr>
        <w:t>.</w:t>
      </w:r>
    </w:p>
    <w:p w:rsidR="00801C15" w:rsidRPr="005C2D04" w:rsidRDefault="00891070" w:rsidP="005C2D04">
      <w:pPr>
        <w:numPr>
          <w:ilvl w:val="0"/>
          <w:numId w:val="4"/>
        </w:numPr>
        <w:ind w:hanging="359"/>
        <w:jc w:val="both"/>
      </w:pPr>
      <w:r w:rsidRPr="005C2D04">
        <w:rPr>
          <w:color w:val="222222"/>
          <w:highlight w:val="white"/>
        </w:rPr>
        <w:t>Aneks št. 2. z dne 22.9.2011 vrednostno ne spreminja projekta, določa novega odgovornega vodjo gradbišča.</w:t>
      </w:r>
    </w:p>
    <w:p w:rsidR="00801C15" w:rsidRPr="005C2D04" w:rsidRDefault="00891070" w:rsidP="005C2D04">
      <w:pPr>
        <w:numPr>
          <w:ilvl w:val="0"/>
          <w:numId w:val="4"/>
        </w:numPr>
        <w:ind w:hanging="359"/>
        <w:jc w:val="both"/>
      </w:pPr>
      <w:r w:rsidRPr="005C2D04">
        <w:rPr>
          <w:color w:val="222222"/>
          <w:highlight w:val="white"/>
        </w:rPr>
        <w:t>Z aneksom št. 3. z dne 23.12.2011 (na strani izvajalca je navedena napačen datum 23.12.2012) Občina naroča dodatna dela v vrednosti 62.500 EUR + DDV, ki niso bila zajeta v osnovni pogodbi.</w:t>
      </w:r>
    </w:p>
    <w:p w:rsidR="00801C15" w:rsidRPr="005C2D04" w:rsidRDefault="00891070" w:rsidP="005C2D04">
      <w:pPr>
        <w:numPr>
          <w:ilvl w:val="0"/>
          <w:numId w:val="4"/>
        </w:numPr>
        <w:ind w:hanging="359"/>
        <w:jc w:val="both"/>
      </w:pPr>
      <w:r w:rsidRPr="005C2D04">
        <w:rPr>
          <w:color w:val="222222"/>
          <w:highlight w:val="white"/>
        </w:rPr>
        <w:t>Aneks št. 4 z dne 11.5.2012 vrednostno ne spreminja projekta, določa le nove podizvajalce za posamezne sklope.</w:t>
      </w:r>
    </w:p>
    <w:p w:rsidR="00801C15" w:rsidRPr="005C2D04" w:rsidRDefault="00891070" w:rsidP="005C2D04">
      <w:pPr>
        <w:numPr>
          <w:ilvl w:val="0"/>
          <w:numId w:val="4"/>
        </w:numPr>
        <w:ind w:hanging="359"/>
        <w:jc w:val="both"/>
      </w:pPr>
      <w:r w:rsidRPr="005C2D04">
        <w:rPr>
          <w:color w:val="222222"/>
          <w:highlight w:val="white"/>
        </w:rPr>
        <w:t>Aneks št. 5 z dne 11.5.2012 vrednostno ne spreminja projekta, določa pa nove roke izvedbe.</w:t>
      </w:r>
    </w:p>
    <w:p w:rsidR="00801C15" w:rsidRPr="005C2D04" w:rsidRDefault="00891070" w:rsidP="005C2D04">
      <w:pPr>
        <w:numPr>
          <w:ilvl w:val="0"/>
          <w:numId w:val="4"/>
        </w:numPr>
        <w:ind w:hanging="359"/>
        <w:jc w:val="both"/>
      </w:pPr>
      <w:r w:rsidRPr="005C2D04">
        <w:rPr>
          <w:color w:val="222222"/>
          <w:highlight w:val="white"/>
        </w:rPr>
        <w:t>Aneks št. 6 z dne 9.11.2012 oz. 12.11.2012 vrednostno ne spreminja projekta, določa pa nove roke za izvedbo.</w:t>
      </w:r>
    </w:p>
    <w:p w:rsidR="00801C15" w:rsidRPr="005C2D04" w:rsidRDefault="00891070" w:rsidP="005C2D04">
      <w:pPr>
        <w:numPr>
          <w:ilvl w:val="0"/>
          <w:numId w:val="4"/>
        </w:numPr>
        <w:ind w:hanging="359"/>
        <w:jc w:val="both"/>
      </w:pPr>
      <w:r w:rsidRPr="005C2D04">
        <w:rPr>
          <w:color w:val="222222"/>
          <w:highlight w:val="white"/>
        </w:rPr>
        <w:t>Aneks št. 7 z dne 14.11.2012 vrednostno ne spreminja projekta, določa pa nove roke izvedbe.</w:t>
      </w:r>
    </w:p>
    <w:p w:rsidR="00801C15" w:rsidRPr="005C2D04" w:rsidRDefault="00801C15" w:rsidP="005C2D04">
      <w:pPr>
        <w:jc w:val="both"/>
      </w:pPr>
    </w:p>
    <w:p w:rsidR="00801C15" w:rsidRPr="005C2D04" w:rsidRDefault="00891070" w:rsidP="005C2D04">
      <w:pPr>
        <w:jc w:val="both"/>
      </w:pPr>
      <w:r w:rsidRPr="005C2D04">
        <w:rPr>
          <w:color w:val="222222"/>
          <w:highlight w:val="white"/>
        </w:rPr>
        <w:t>Občina na osnovi pregleda končne situacije 13.12.2012 ugotavlja, da izvajalec ni izvedel vseh del, in da vrednost neizvedenih del in ne</w:t>
      </w:r>
      <w:r>
        <w:rPr>
          <w:color w:val="222222"/>
          <w:highlight w:val="white"/>
        </w:rPr>
        <w:t xml:space="preserve"> </w:t>
      </w:r>
      <w:r w:rsidRPr="005C2D04">
        <w:rPr>
          <w:color w:val="222222"/>
          <w:highlight w:val="white"/>
        </w:rPr>
        <w:t>odpravljenih poman</w:t>
      </w:r>
      <w:r>
        <w:rPr>
          <w:color w:val="222222"/>
          <w:highlight w:val="white"/>
        </w:rPr>
        <w:t>j</w:t>
      </w:r>
      <w:r w:rsidRPr="005C2D04">
        <w:rPr>
          <w:color w:val="222222"/>
          <w:highlight w:val="white"/>
        </w:rPr>
        <w:t>kljivosti znaša 24.293,52 vključno z DDV.</w:t>
      </w:r>
    </w:p>
    <w:p w:rsidR="00801C15" w:rsidRPr="005C2D04" w:rsidRDefault="00801C15" w:rsidP="005C2D04">
      <w:pPr>
        <w:jc w:val="both"/>
      </w:pPr>
    </w:p>
    <w:p w:rsidR="00801C15" w:rsidRPr="005C2D04" w:rsidRDefault="00891070" w:rsidP="005C2D04">
      <w:pPr>
        <w:jc w:val="both"/>
      </w:pPr>
      <w:r w:rsidRPr="005C2D04">
        <w:rPr>
          <w:color w:val="222222"/>
          <w:highlight w:val="white"/>
        </w:rPr>
        <w:t>Ugotavljamo da je končna vrednost projekta z Jelovico po vseh aneksih in oceni neizvedenih del 1.733.255,40 EUR brez DDV oz. 2.079.906,48 EUR z vključenim DDV</w:t>
      </w:r>
      <w:r>
        <w:rPr>
          <w:color w:val="222222"/>
          <w:highlight w:val="white"/>
        </w:rPr>
        <w:t>-</w:t>
      </w:r>
      <w:r w:rsidRPr="005C2D04">
        <w:rPr>
          <w:color w:val="222222"/>
          <w:highlight w:val="white"/>
        </w:rPr>
        <w:t>jem. Sklenjeni aneksi predstavljajo 3,6 % vrednosti osnovne pogodbe in so v okviru zakonske omejitve.</w:t>
      </w:r>
    </w:p>
    <w:p w:rsidR="00801C15" w:rsidRPr="005C2D04" w:rsidRDefault="00801C15" w:rsidP="005C2D04">
      <w:pPr>
        <w:jc w:val="both"/>
      </w:pPr>
    </w:p>
    <w:p w:rsidR="00801C15" w:rsidRPr="005C2D04" w:rsidRDefault="00891070" w:rsidP="005C2D04">
      <w:pPr>
        <w:jc w:val="both"/>
      </w:pPr>
      <w:r w:rsidRPr="005C2D04">
        <w:rPr>
          <w:color w:val="222222"/>
          <w:highlight w:val="white"/>
        </w:rPr>
        <w:t>Kartice finančnega knjigovodstva po letih izkazujejo naslednjo realizacijo z vključenim DDV-jem:</w:t>
      </w:r>
    </w:p>
    <w:p w:rsidR="00801C15" w:rsidRPr="005C2D04" w:rsidRDefault="00891070" w:rsidP="005C2D04">
      <w:pPr>
        <w:numPr>
          <w:ilvl w:val="0"/>
          <w:numId w:val="5"/>
        </w:numPr>
        <w:ind w:hanging="359"/>
        <w:jc w:val="both"/>
      </w:pPr>
      <w:r w:rsidRPr="005C2D04">
        <w:rPr>
          <w:color w:val="222222"/>
          <w:highlight w:val="white"/>
        </w:rPr>
        <w:t>leto 2009 : 36.951,90 EUR</w:t>
      </w:r>
    </w:p>
    <w:p w:rsidR="00801C15" w:rsidRPr="005C2D04" w:rsidRDefault="00891070" w:rsidP="005C2D04">
      <w:pPr>
        <w:numPr>
          <w:ilvl w:val="0"/>
          <w:numId w:val="3"/>
        </w:numPr>
        <w:ind w:hanging="359"/>
        <w:jc w:val="both"/>
      </w:pPr>
      <w:r w:rsidRPr="005C2D04">
        <w:rPr>
          <w:color w:val="222222"/>
          <w:highlight w:val="white"/>
        </w:rPr>
        <w:t>leto 2010 : 1.379.490,58 EUR</w:t>
      </w:r>
    </w:p>
    <w:p w:rsidR="00801C15" w:rsidRPr="005C2D04" w:rsidRDefault="00891070" w:rsidP="005C2D04">
      <w:pPr>
        <w:numPr>
          <w:ilvl w:val="0"/>
          <w:numId w:val="3"/>
        </w:numPr>
        <w:ind w:hanging="359"/>
        <w:jc w:val="both"/>
      </w:pPr>
      <w:r w:rsidRPr="005C2D04">
        <w:rPr>
          <w:color w:val="222222"/>
          <w:highlight w:val="white"/>
        </w:rPr>
        <w:t>leto 2011 : 985.060,18 EUR</w:t>
      </w:r>
    </w:p>
    <w:p w:rsidR="00801C15" w:rsidRPr="005C2D04" w:rsidRDefault="00801C15" w:rsidP="005C2D04">
      <w:pPr>
        <w:jc w:val="both"/>
      </w:pPr>
    </w:p>
    <w:p w:rsidR="00801C15" w:rsidRPr="005C2D04" w:rsidRDefault="00891070" w:rsidP="005C2D04">
      <w:pPr>
        <w:jc w:val="both"/>
      </w:pPr>
      <w:r w:rsidRPr="005C2D04">
        <w:rPr>
          <w:color w:val="222222"/>
          <w:highlight w:val="white"/>
        </w:rPr>
        <w:t>Kartica finančnega računovodstva se ujema z vrednostjo pogodbe, vrednostjo izvedenih del pred pogodbo (prejšnji izvajalec, pripravljalna dela,…), vrednostjo dodatnih del, ki jih izvajalec ni izvedel, vrednostjo del po prevzemu vrtca ter vrednostjo nadzora.</w:t>
      </w:r>
    </w:p>
    <w:p w:rsidR="00801C15" w:rsidRPr="005C2D04" w:rsidRDefault="00891070" w:rsidP="005C2D04">
      <w:pPr>
        <w:jc w:val="both"/>
      </w:pPr>
      <w:r w:rsidRPr="005C2D04">
        <w:rPr>
          <w:color w:val="222222"/>
          <w:highlight w:val="white"/>
        </w:rPr>
        <w:t>Postopek realizacije vrtca od izvedbe ja</w:t>
      </w:r>
      <w:r>
        <w:rPr>
          <w:color w:val="222222"/>
          <w:highlight w:val="white"/>
        </w:rPr>
        <w:t>v</w:t>
      </w:r>
      <w:r w:rsidRPr="005C2D04">
        <w:rPr>
          <w:color w:val="222222"/>
          <w:highlight w:val="white"/>
        </w:rPr>
        <w:t>nega razpisa do zaključka je voden pregledno in ustrezno dokumentiran.</w:t>
      </w:r>
    </w:p>
    <w:p w:rsidR="0076065F" w:rsidRDefault="00891070" w:rsidP="005C2D04">
      <w:pPr>
        <w:jc w:val="both"/>
      </w:pPr>
      <w:r w:rsidRPr="005C2D04">
        <w:rPr>
          <w:color w:val="222222"/>
          <w:highlight w:val="white"/>
        </w:rPr>
        <w:lastRenderedPageBreak/>
        <w:t>Z ozirom na zaplete pri gradnji vrtca in s tem povezanimi spremembami rokov, se je spreminjala tudi dinamika finančne realizacije, kar je posledično povzročilo spremembe v letnih proračunu Občine, ki so se</w:t>
      </w:r>
      <w:r w:rsidR="0076065F">
        <w:t xml:space="preserve"> </w:t>
      </w:r>
      <w:r w:rsidRPr="005C2D04">
        <w:rPr>
          <w:color w:val="222222"/>
          <w:highlight w:val="white"/>
        </w:rPr>
        <w:t>prilagajali situaciji. Spremenjene niso bile vrednosti temveč terminski plan.</w:t>
      </w:r>
    </w:p>
    <w:p w:rsidR="00801C15" w:rsidRPr="005C2D04" w:rsidRDefault="00891070" w:rsidP="005C2D04">
      <w:pPr>
        <w:jc w:val="both"/>
      </w:pPr>
      <w:r w:rsidRPr="005C2D04">
        <w:rPr>
          <w:color w:val="222222"/>
          <w:highlight w:val="white"/>
        </w:rPr>
        <w:t>Občina se je pri izvedbi projekta neprestano srečevala z neprimerno izdanimi situacijami s strani izvajalca, ki jih nadzornik ni mogel potrditi, kar je Občini onemogočalo redno plačevanje po situacijah. Večina izdanih situacij s strani izvajalca ni ustrezala pogodbeni vrednosti. Izvajalec se ni držal dogovorjenih rokov izvedbe.</w:t>
      </w:r>
    </w:p>
    <w:p w:rsidR="00801C15" w:rsidRPr="005C2D04" w:rsidRDefault="00801C15" w:rsidP="005C2D04">
      <w:pPr>
        <w:jc w:val="both"/>
      </w:pPr>
    </w:p>
    <w:p w:rsidR="00801C15" w:rsidRPr="005C2D04" w:rsidRDefault="00891070" w:rsidP="005C2D04">
      <w:pPr>
        <w:jc w:val="both"/>
      </w:pPr>
      <w:r w:rsidRPr="005C2D04">
        <w:rPr>
          <w:color w:val="222222"/>
          <w:highlight w:val="white"/>
        </w:rPr>
        <w:t>Občina je v okviru možnosti projekt vodila z namenom čim prejšnjega zaključka, da bo objekt čim prej predan uporabi in zato prevzela ne popolnoma dokončan objekt, za kar je tudi znižala končno vrednost izvajalcu.</w:t>
      </w:r>
    </w:p>
    <w:p w:rsidR="00801C15" w:rsidRPr="005C2D04" w:rsidRDefault="00801C15" w:rsidP="005C2D04">
      <w:pPr>
        <w:jc w:val="both"/>
      </w:pPr>
    </w:p>
    <w:p w:rsidR="00801C15" w:rsidRPr="005C2D04" w:rsidRDefault="00891070" w:rsidP="005C2D04">
      <w:pPr>
        <w:jc w:val="both"/>
      </w:pPr>
      <w:r w:rsidRPr="005C2D04">
        <w:rPr>
          <w:color w:val="222222"/>
          <w:highlight w:val="white"/>
        </w:rPr>
        <w:t>Izvajalec je že kmalu po podpisu pogodbe skušal povišati vrednost projekta. Ker Občina na to ni pristala, je izvajalec napovedal tožbo na sodišču, kar je po zadnjih informacijah tudi storil.</w:t>
      </w:r>
    </w:p>
    <w:p w:rsidR="00801C15" w:rsidRPr="005C2D04" w:rsidRDefault="00891070" w:rsidP="005C2D04">
      <w:pPr>
        <w:pStyle w:val="Naslov2"/>
        <w:jc w:val="both"/>
        <w:rPr>
          <w:sz w:val="22"/>
        </w:rPr>
      </w:pPr>
      <w:bookmarkStart w:id="2" w:name="h.qw25yo4ocejh" w:colFirst="0" w:colLast="0"/>
      <w:bookmarkEnd w:id="2"/>
      <w:r w:rsidRPr="005C2D04">
        <w:rPr>
          <w:sz w:val="22"/>
        </w:rPr>
        <w:t>Ugotovitveni del</w:t>
      </w:r>
    </w:p>
    <w:p w:rsidR="00801C15" w:rsidRPr="005C2D04" w:rsidRDefault="00801C15" w:rsidP="005C2D04">
      <w:pPr>
        <w:jc w:val="both"/>
      </w:pPr>
    </w:p>
    <w:p w:rsidR="00801C15" w:rsidRPr="005C2D04" w:rsidRDefault="00891070" w:rsidP="005C2D04">
      <w:pPr>
        <w:jc w:val="both"/>
      </w:pPr>
      <w:r w:rsidRPr="005C2D04">
        <w:t xml:space="preserve">Nadzorni odbor izreka POZITIVNO MNENJE o predmetu nadzora – FINANCIRANJE GRADNJE VRTCA. </w:t>
      </w:r>
    </w:p>
    <w:p w:rsidR="00801C15" w:rsidRPr="005C2D04" w:rsidRDefault="00801C15" w:rsidP="005C2D04">
      <w:pPr>
        <w:jc w:val="both"/>
      </w:pPr>
    </w:p>
    <w:p w:rsidR="00801C15" w:rsidRPr="005C2D04" w:rsidRDefault="00891070" w:rsidP="005C2D04">
      <w:pPr>
        <w:jc w:val="both"/>
      </w:pPr>
      <w:r w:rsidRPr="005C2D04">
        <w:t>V nadaljevanju podajamo ostale ugotovitve in z njimi povezana priporočila, ki izhajajo iz opravljenega nadzora.</w:t>
      </w:r>
    </w:p>
    <w:p w:rsidR="00801C15" w:rsidRPr="005C2D04" w:rsidRDefault="00891070" w:rsidP="005C2D04">
      <w:pPr>
        <w:pStyle w:val="Naslov2"/>
        <w:jc w:val="both"/>
        <w:rPr>
          <w:sz w:val="22"/>
        </w:rPr>
      </w:pPr>
      <w:bookmarkStart w:id="3" w:name="h.l3hfgljnhraa" w:colFirst="0" w:colLast="0"/>
      <w:bookmarkEnd w:id="3"/>
      <w:r w:rsidRPr="005C2D04">
        <w:rPr>
          <w:sz w:val="22"/>
        </w:rPr>
        <w:t>Priporočila in predlogi</w:t>
      </w:r>
    </w:p>
    <w:p w:rsidR="00801C15" w:rsidRPr="005C2D04" w:rsidRDefault="00891070" w:rsidP="005C2D04">
      <w:pPr>
        <w:jc w:val="both"/>
      </w:pPr>
      <w:r w:rsidRPr="005C2D04">
        <w:t>Sprotno spremljanje projekta se je izkazalo kot pozitivno, zato predlagamo, da se ta praksa ohrani pri vseh večjih projektih.</w:t>
      </w:r>
    </w:p>
    <w:p w:rsidR="00801C15" w:rsidRPr="005C2D04" w:rsidRDefault="00801C15" w:rsidP="005C2D04">
      <w:pPr>
        <w:jc w:val="both"/>
      </w:pPr>
      <w:bookmarkStart w:id="4" w:name="h.mq5jg9mht1uy" w:colFirst="0" w:colLast="0"/>
      <w:bookmarkEnd w:id="4"/>
    </w:p>
    <w:p w:rsidR="00365AEB" w:rsidRPr="00D74006" w:rsidRDefault="00365AEB" w:rsidP="00365AEB">
      <w:pPr>
        <w:spacing w:line="240" w:lineRule="auto"/>
        <w:jc w:val="both"/>
        <w:rPr>
          <w:rFonts w:eastAsia="Times New Roman"/>
          <w:b/>
          <w:color w:val="auto"/>
        </w:rPr>
      </w:pPr>
      <w:r w:rsidRPr="00D74006">
        <w:rPr>
          <w:rFonts w:eastAsia="Times New Roman"/>
          <w:b/>
          <w:color w:val="auto"/>
        </w:rPr>
        <w:t>Odziv nadzorovane osebe:</w:t>
      </w:r>
    </w:p>
    <w:p w:rsidR="00365AEB" w:rsidRPr="00D74006" w:rsidRDefault="00365AEB" w:rsidP="00365AEB">
      <w:pPr>
        <w:spacing w:line="240" w:lineRule="auto"/>
        <w:jc w:val="both"/>
        <w:rPr>
          <w:rFonts w:eastAsia="Times New Roman"/>
          <w:color w:val="auto"/>
        </w:rPr>
      </w:pPr>
      <w:r w:rsidRPr="00D74006">
        <w:rPr>
          <w:rFonts w:eastAsia="Times New Roman"/>
          <w:color w:val="auto"/>
        </w:rPr>
        <w:t>Nismo prejeli odzivnega poročila nadzorovane osebe na osnutek poročila.</w:t>
      </w:r>
    </w:p>
    <w:p w:rsidR="00801C15" w:rsidRPr="005C2D04" w:rsidRDefault="00801C15" w:rsidP="005C2D04">
      <w:pPr>
        <w:jc w:val="both"/>
      </w:pPr>
    </w:p>
    <w:p w:rsidR="00801C15" w:rsidRPr="005C2D04" w:rsidRDefault="00801C15" w:rsidP="005C2D04">
      <w:pPr>
        <w:jc w:val="both"/>
      </w:pPr>
    </w:p>
    <w:p w:rsidR="0076065F" w:rsidRDefault="00891070" w:rsidP="005C2D04">
      <w:pPr>
        <w:jc w:val="both"/>
      </w:pPr>
      <w:r w:rsidRPr="005C2D04">
        <w:tab/>
      </w:r>
      <w:r w:rsidRPr="005C2D04">
        <w:tab/>
      </w:r>
      <w:r w:rsidRPr="005C2D04">
        <w:tab/>
      </w:r>
      <w:r w:rsidRPr="005C2D04">
        <w:tab/>
      </w:r>
      <w:r w:rsidRPr="005C2D04">
        <w:tab/>
      </w:r>
      <w:r w:rsidRPr="005C2D04">
        <w:tab/>
      </w:r>
    </w:p>
    <w:p w:rsidR="0076065F" w:rsidRDefault="0076065F" w:rsidP="005C2D04">
      <w:pPr>
        <w:jc w:val="both"/>
      </w:pPr>
    </w:p>
    <w:p w:rsidR="00801C15" w:rsidRPr="005C2D04" w:rsidRDefault="0076065F" w:rsidP="005C2D04">
      <w:pPr>
        <w:jc w:val="both"/>
      </w:pPr>
      <w:r>
        <w:t xml:space="preserve">                                                                        </w:t>
      </w:r>
      <w:r w:rsidR="00891070" w:rsidRPr="005C2D04">
        <w:tab/>
      </w:r>
      <w:r w:rsidR="007A37A1">
        <w:t xml:space="preserve">                     </w:t>
      </w:r>
      <w:r w:rsidR="00891070" w:rsidRPr="005C2D04">
        <w:t>Delovna skupina:</w:t>
      </w:r>
    </w:p>
    <w:p w:rsidR="00801C15" w:rsidRPr="005C2D04" w:rsidRDefault="00891070" w:rsidP="005C2D04">
      <w:pPr>
        <w:jc w:val="both"/>
      </w:pPr>
      <w:r w:rsidRPr="005C2D04">
        <w:tab/>
      </w:r>
      <w:r w:rsidRPr="005C2D04">
        <w:tab/>
      </w:r>
      <w:r w:rsidRPr="005C2D04">
        <w:tab/>
      </w:r>
      <w:r w:rsidRPr="005C2D04">
        <w:tab/>
      </w:r>
      <w:r w:rsidRPr="005C2D04">
        <w:tab/>
      </w:r>
      <w:r w:rsidRPr="005C2D04">
        <w:tab/>
      </w:r>
      <w:r w:rsidR="007A37A1">
        <w:t xml:space="preserve">            </w:t>
      </w:r>
      <w:r w:rsidRPr="005C2D04">
        <w:tab/>
        <w:t>Marko Pavlišič, l.r. - predsednik</w:t>
      </w:r>
    </w:p>
    <w:p w:rsidR="002A36C7" w:rsidRDefault="00891070" w:rsidP="002A36C7">
      <w:pPr>
        <w:jc w:val="both"/>
      </w:pPr>
      <w:r w:rsidRPr="005C2D04">
        <w:tab/>
      </w:r>
      <w:r w:rsidRPr="005C2D04">
        <w:tab/>
      </w:r>
      <w:r w:rsidRPr="005C2D04">
        <w:tab/>
      </w:r>
      <w:r w:rsidRPr="005C2D04">
        <w:tab/>
      </w:r>
      <w:r w:rsidRPr="005C2D04">
        <w:tab/>
      </w:r>
      <w:r w:rsidR="007A37A1">
        <w:t xml:space="preserve">              </w:t>
      </w:r>
      <w:r w:rsidRPr="005C2D04">
        <w:tab/>
      </w:r>
      <w:r w:rsidRPr="005C2D04">
        <w:tab/>
        <w:t>Cvetka Lippai, l.r. - članica</w:t>
      </w:r>
    </w:p>
    <w:p w:rsidR="002A36C7" w:rsidRPr="002A36C7" w:rsidRDefault="002A36C7" w:rsidP="002A36C7"/>
    <w:p w:rsidR="002A36C7" w:rsidRPr="002A36C7" w:rsidRDefault="002A36C7" w:rsidP="002A36C7"/>
    <w:p w:rsidR="002A36C7" w:rsidRDefault="002A36C7" w:rsidP="002A36C7"/>
    <w:p w:rsidR="002A36C7" w:rsidRDefault="002A36C7" w:rsidP="002A36C7">
      <w:pPr>
        <w:rPr>
          <w:sz w:val="24"/>
          <w:szCs w:val="24"/>
        </w:rPr>
      </w:pPr>
      <w:r>
        <w:rPr>
          <w:sz w:val="24"/>
          <w:szCs w:val="24"/>
        </w:rPr>
        <w:t>Poslano:</w:t>
      </w:r>
    </w:p>
    <w:p w:rsidR="002A36C7" w:rsidRDefault="002A36C7" w:rsidP="002A36C7">
      <w:pPr>
        <w:numPr>
          <w:ilvl w:val="0"/>
          <w:numId w:val="6"/>
        </w:numPr>
        <w:spacing w:line="240" w:lineRule="auto"/>
        <w:rPr>
          <w:sz w:val="24"/>
          <w:szCs w:val="24"/>
        </w:rPr>
      </w:pPr>
      <w:r>
        <w:rPr>
          <w:sz w:val="24"/>
          <w:szCs w:val="24"/>
        </w:rPr>
        <w:t>Uradni vestnik Občine Trzin, št. 3/2013,</w:t>
      </w:r>
    </w:p>
    <w:p w:rsidR="002A36C7" w:rsidRDefault="002A36C7" w:rsidP="002A36C7">
      <w:pPr>
        <w:numPr>
          <w:ilvl w:val="0"/>
          <w:numId w:val="6"/>
        </w:numPr>
        <w:spacing w:line="240" w:lineRule="auto"/>
        <w:rPr>
          <w:sz w:val="24"/>
          <w:szCs w:val="24"/>
        </w:rPr>
      </w:pPr>
      <w:r>
        <w:rPr>
          <w:sz w:val="24"/>
          <w:szCs w:val="24"/>
        </w:rPr>
        <w:t>NO;</w:t>
      </w:r>
    </w:p>
    <w:p w:rsidR="002A36C7" w:rsidRDefault="002A36C7" w:rsidP="002A36C7">
      <w:pPr>
        <w:numPr>
          <w:ilvl w:val="0"/>
          <w:numId w:val="6"/>
        </w:numPr>
        <w:spacing w:line="240" w:lineRule="auto"/>
        <w:rPr>
          <w:sz w:val="24"/>
          <w:szCs w:val="24"/>
        </w:rPr>
      </w:pPr>
      <w:r>
        <w:rPr>
          <w:sz w:val="24"/>
          <w:szCs w:val="24"/>
        </w:rPr>
        <w:t>arhiv, tu (2 x)</w:t>
      </w:r>
    </w:p>
    <w:p w:rsidR="00801C15" w:rsidRPr="002A36C7" w:rsidRDefault="00801C15" w:rsidP="002A36C7">
      <w:bookmarkStart w:id="5" w:name="_GoBack"/>
      <w:bookmarkEnd w:id="5"/>
    </w:p>
    <w:sectPr w:rsidR="00801C15" w:rsidRPr="002A36C7" w:rsidSect="007A37A1">
      <w:pgSz w:w="12240" w:h="15840"/>
      <w:pgMar w:top="1276" w:right="1440" w:bottom="1135"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343C9"/>
    <w:multiLevelType w:val="hybridMultilevel"/>
    <w:tmpl w:val="6DF48D5A"/>
    <w:lvl w:ilvl="0" w:tplc="EA94DF0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nsid w:val="1C7740E8"/>
    <w:multiLevelType w:val="multilevel"/>
    <w:tmpl w:val="283ABD7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27506194"/>
    <w:multiLevelType w:val="multilevel"/>
    <w:tmpl w:val="4962B752"/>
    <w:lvl w:ilvl="0">
      <w:start w:val="1"/>
      <w:numFmt w:val="bullet"/>
      <w:lvlText w:val="●"/>
      <w:lvlJc w:val="left"/>
      <w:pPr>
        <w:ind w:left="720" w:firstLine="360"/>
      </w:pPr>
      <w:rPr>
        <w:rFonts w:ascii="Arial" w:eastAsia="Arial" w:hAnsi="Arial" w:cs="Arial"/>
        <w:b w:val="0"/>
        <w:i w:val="0"/>
        <w:smallCaps w:val="0"/>
        <w:strike w:val="0"/>
        <w:color w:val="222222"/>
        <w:sz w:val="20"/>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222222"/>
        <w:sz w:val="20"/>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222222"/>
        <w:sz w:val="20"/>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222222"/>
        <w:sz w:val="20"/>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222222"/>
        <w:sz w:val="20"/>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222222"/>
        <w:sz w:val="20"/>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222222"/>
        <w:sz w:val="20"/>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222222"/>
        <w:sz w:val="20"/>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222222"/>
        <w:sz w:val="20"/>
        <w:highlight w:val="white"/>
        <w:u w:val="none"/>
        <w:vertAlign w:val="baseline"/>
      </w:rPr>
    </w:lvl>
  </w:abstractNum>
  <w:abstractNum w:abstractNumId="3">
    <w:nsid w:val="3873483F"/>
    <w:multiLevelType w:val="multilevel"/>
    <w:tmpl w:val="95F4365A"/>
    <w:lvl w:ilvl="0">
      <w:start w:val="1"/>
      <w:numFmt w:val="bullet"/>
      <w:lvlText w:val="●"/>
      <w:lvlJc w:val="left"/>
      <w:pPr>
        <w:ind w:left="720" w:firstLine="360"/>
      </w:pPr>
      <w:rPr>
        <w:rFonts w:ascii="Arial" w:eastAsia="Arial" w:hAnsi="Arial" w:cs="Arial"/>
        <w:b w:val="0"/>
        <w:i w:val="0"/>
        <w:smallCaps w:val="0"/>
        <w:strike w:val="0"/>
        <w:color w:val="222222"/>
        <w:sz w:val="20"/>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222222"/>
        <w:sz w:val="20"/>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222222"/>
        <w:sz w:val="20"/>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222222"/>
        <w:sz w:val="20"/>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222222"/>
        <w:sz w:val="20"/>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222222"/>
        <w:sz w:val="20"/>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222222"/>
        <w:sz w:val="20"/>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222222"/>
        <w:sz w:val="20"/>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222222"/>
        <w:sz w:val="20"/>
        <w:highlight w:val="white"/>
        <w:u w:val="none"/>
        <w:vertAlign w:val="baseline"/>
      </w:rPr>
    </w:lvl>
  </w:abstractNum>
  <w:abstractNum w:abstractNumId="4">
    <w:nsid w:val="50A341FB"/>
    <w:multiLevelType w:val="multilevel"/>
    <w:tmpl w:val="016862A8"/>
    <w:lvl w:ilvl="0">
      <w:start w:val="1"/>
      <w:numFmt w:val="bullet"/>
      <w:lvlText w:val="●"/>
      <w:lvlJc w:val="left"/>
      <w:pPr>
        <w:ind w:left="720" w:firstLine="360"/>
      </w:pPr>
      <w:rPr>
        <w:rFonts w:ascii="Arial" w:eastAsia="Arial" w:hAnsi="Arial" w:cs="Arial"/>
        <w:b w:val="0"/>
        <w:i w:val="0"/>
        <w:smallCaps w:val="0"/>
        <w:strike w:val="0"/>
        <w:color w:val="222222"/>
        <w:sz w:val="20"/>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222222"/>
        <w:sz w:val="20"/>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222222"/>
        <w:sz w:val="20"/>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222222"/>
        <w:sz w:val="20"/>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222222"/>
        <w:sz w:val="20"/>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222222"/>
        <w:sz w:val="20"/>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222222"/>
        <w:sz w:val="20"/>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222222"/>
        <w:sz w:val="20"/>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222222"/>
        <w:sz w:val="20"/>
        <w:highlight w:val="white"/>
        <w:u w:val="none"/>
        <w:vertAlign w:val="baseline"/>
      </w:rPr>
    </w:lvl>
  </w:abstractNum>
  <w:abstractNum w:abstractNumId="5">
    <w:nsid w:val="5CD52FED"/>
    <w:multiLevelType w:val="multilevel"/>
    <w:tmpl w:val="A8403E1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5"/>
  </w:num>
  <w:num w:numId="2">
    <w:abstractNumId w:val="1"/>
  </w:num>
  <w:num w:numId="3">
    <w:abstractNumId w:val="3"/>
  </w:num>
  <w:num w:numId="4">
    <w:abstractNumId w:val="4"/>
  </w:num>
  <w:num w:numId="5">
    <w:abstractNumId w:val="2"/>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compat>
    <w:useFELayout/>
    <w:compatSetting w:name="compatibilityMode" w:uri="http://schemas.microsoft.com/office/word" w:val="14"/>
  </w:compat>
  <w:rsids>
    <w:rsidRoot w:val="00801C15"/>
    <w:rsid w:val="0014359A"/>
    <w:rsid w:val="002A36C7"/>
    <w:rsid w:val="00365AEB"/>
    <w:rsid w:val="004F4AB8"/>
    <w:rsid w:val="005B371A"/>
    <w:rsid w:val="005C2D04"/>
    <w:rsid w:val="00710C2C"/>
    <w:rsid w:val="0076065F"/>
    <w:rsid w:val="007A37A1"/>
    <w:rsid w:val="00801C15"/>
    <w:rsid w:val="00891070"/>
    <w:rsid w:val="00C03814"/>
    <w:rsid w:val="00D74006"/>
    <w:rsid w:val="00E56F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spacing w:after="0"/>
    </w:pPr>
    <w:rPr>
      <w:rFonts w:ascii="Arial" w:eastAsia="Arial" w:hAnsi="Arial" w:cs="Arial"/>
      <w:color w:val="000000"/>
    </w:rPr>
  </w:style>
  <w:style w:type="paragraph" w:styleId="Naslov1">
    <w:name w:val="heading 1"/>
    <w:basedOn w:val="Navaden"/>
    <w:next w:val="Navaden"/>
    <w:pPr>
      <w:spacing w:before="480" w:after="120"/>
      <w:outlineLvl w:val="0"/>
    </w:pPr>
    <w:rPr>
      <w:b/>
      <w:sz w:val="36"/>
    </w:rPr>
  </w:style>
  <w:style w:type="paragraph" w:styleId="Naslov2">
    <w:name w:val="heading 2"/>
    <w:basedOn w:val="Navaden"/>
    <w:next w:val="Navaden"/>
    <w:pPr>
      <w:spacing w:before="360" w:after="80"/>
      <w:outlineLvl w:val="1"/>
    </w:pPr>
    <w:rPr>
      <w:b/>
      <w:sz w:val="28"/>
    </w:rPr>
  </w:style>
  <w:style w:type="paragraph" w:styleId="Naslov3">
    <w:name w:val="heading 3"/>
    <w:basedOn w:val="Navaden"/>
    <w:next w:val="Navaden"/>
    <w:pPr>
      <w:spacing w:before="280" w:after="80"/>
      <w:outlineLvl w:val="2"/>
    </w:pPr>
    <w:rPr>
      <w:b/>
      <w:color w:val="666666"/>
      <w:sz w:val="24"/>
    </w:rPr>
  </w:style>
  <w:style w:type="paragraph" w:styleId="Naslov4">
    <w:name w:val="heading 4"/>
    <w:basedOn w:val="Navaden"/>
    <w:next w:val="Navaden"/>
    <w:pPr>
      <w:spacing w:before="240" w:after="40"/>
      <w:outlineLvl w:val="3"/>
    </w:pPr>
    <w:rPr>
      <w:i/>
      <w:color w:val="666666"/>
    </w:rPr>
  </w:style>
  <w:style w:type="paragraph" w:styleId="Naslov5">
    <w:name w:val="heading 5"/>
    <w:basedOn w:val="Navaden"/>
    <w:next w:val="Navaden"/>
    <w:pPr>
      <w:spacing w:before="220" w:after="40"/>
      <w:outlineLvl w:val="4"/>
    </w:pPr>
    <w:rPr>
      <w:b/>
      <w:color w:val="666666"/>
      <w:sz w:val="20"/>
    </w:rPr>
  </w:style>
  <w:style w:type="paragraph" w:styleId="Naslov6">
    <w:name w:val="heading 6"/>
    <w:basedOn w:val="Navaden"/>
    <w:next w:val="Navaden"/>
    <w:pPr>
      <w:spacing w:before="200" w:after="40"/>
      <w:outlineLvl w:val="5"/>
    </w:pPr>
    <w:rPr>
      <w:i/>
      <w:color w:val="666666"/>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pPr>
      <w:spacing w:before="480" w:after="120"/>
    </w:pPr>
    <w:rPr>
      <w:b/>
      <w:sz w:val="72"/>
    </w:rPr>
  </w:style>
  <w:style w:type="paragraph" w:styleId="Podnaslov">
    <w:name w:val="Subtitle"/>
    <w:basedOn w:val="Navaden"/>
    <w:next w:val="Navaden"/>
    <w:pPr>
      <w:spacing w:before="360" w:after="80"/>
    </w:pPr>
    <w:rPr>
      <w:rFonts w:ascii="Georgia" w:eastAsia="Georgia" w:hAnsi="Georgia" w:cs="Georgia"/>
      <w:i/>
      <w:color w:val="666666"/>
      <w:sz w:val="48"/>
    </w:rPr>
  </w:style>
  <w:style w:type="paragraph" w:styleId="Odstavekseznama">
    <w:name w:val="List Paragraph"/>
    <w:basedOn w:val="Navaden"/>
    <w:uiPriority w:val="34"/>
    <w:qFormat/>
    <w:rsid w:val="005C2D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spacing w:after="0"/>
    </w:pPr>
    <w:rPr>
      <w:rFonts w:ascii="Arial" w:eastAsia="Arial" w:hAnsi="Arial" w:cs="Arial"/>
      <w:color w:val="000000"/>
    </w:rPr>
  </w:style>
  <w:style w:type="paragraph" w:styleId="Naslov1">
    <w:name w:val="heading 1"/>
    <w:basedOn w:val="Navaden"/>
    <w:next w:val="Navaden"/>
    <w:pPr>
      <w:spacing w:before="480" w:after="120"/>
      <w:outlineLvl w:val="0"/>
    </w:pPr>
    <w:rPr>
      <w:b/>
      <w:sz w:val="36"/>
    </w:rPr>
  </w:style>
  <w:style w:type="paragraph" w:styleId="Naslov2">
    <w:name w:val="heading 2"/>
    <w:basedOn w:val="Navaden"/>
    <w:next w:val="Navaden"/>
    <w:pPr>
      <w:spacing w:before="360" w:after="80"/>
      <w:outlineLvl w:val="1"/>
    </w:pPr>
    <w:rPr>
      <w:b/>
      <w:sz w:val="28"/>
    </w:rPr>
  </w:style>
  <w:style w:type="paragraph" w:styleId="Naslov3">
    <w:name w:val="heading 3"/>
    <w:basedOn w:val="Navaden"/>
    <w:next w:val="Navaden"/>
    <w:pPr>
      <w:spacing w:before="280" w:after="80"/>
      <w:outlineLvl w:val="2"/>
    </w:pPr>
    <w:rPr>
      <w:b/>
      <w:color w:val="666666"/>
      <w:sz w:val="24"/>
    </w:rPr>
  </w:style>
  <w:style w:type="paragraph" w:styleId="Naslov4">
    <w:name w:val="heading 4"/>
    <w:basedOn w:val="Navaden"/>
    <w:next w:val="Navaden"/>
    <w:pPr>
      <w:spacing w:before="240" w:after="40"/>
      <w:outlineLvl w:val="3"/>
    </w:pPr>
    <w:rPr>
      <w:i/>
      <w:color w:val="666666"/>
    </w:rPr>
  </w:style>
  <w:style w:type="paragraph" w:styleId="Naslov5">
    <w:name w:val="heading 5"/>
    <w:basedOn w:val="Navaden"/>
    <w:next w:val="Navaden"/>
    <w:pPr>
      <w:spacing w:before="220" w:after="40"/>
      <w:outlineLvl w:val="4"/>
    </w:pPr>
    <w:rPr>
      <w:b/>
      <w:color w:val="666666"/>
      <w:sz w:val="20"/>
    </w:rPr>
  </w:style>
  <w:style w:type="paragraph" w:styleId="Naslov6">
    <w:name w:val="heading 6"/>
    <w:basedOn w:val="Navaden"/>
    <w:next w:val="Navaden"/>
    <w:pPr>
      <w:spacing w:before="200" w:after="40"/>
      <w:outlineLvl w:val="5"/>
    </w:pPr>
    <w:rPr>
      <w:i/>
      <w:color w:val="666666"/>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pPr>
      <w:spacing w:before="480" w:after="120"/>
    </w:pPr>
    <w:rPr>
      <w:b/>
      <w:sz w:val="72"/>
    </w:rPr>
  </w:style>
  <w:style w:type="paragraph" w:styleId="Podnaslov">
    <w:name w:val="Subtitle"/>
    <w:basedOn w:val="Navaden"/>
    <w:next w:val="Navaden"/>
    <w:pPr>
      <w:spacing w:before="360" w:after="80"/>
    </w:pPr>
    <w:rPr>
      <w:rFonts w:ascii="Georgia" w:eastAsia="Georgia" w:hAnsi="Georgia" w:cs="Georgia"/>
      <w:i/>
      <w:color w:val="666666"/>
      <w:sz w:val="48"/>
    </w:rPr>
  </w:style>
  <w:style w:type="paragraph" w:styleId="Odstavekseznama">
    <w:name w:val="List Paragraph"/>
    <w:basedOn w:val="Navaden"/>
    <w:uiPriority w:val="34"/>
    <w:qFormat/>
    <w:rsid w:val="005C2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43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865</Words>
  <Characters>4933</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Osnutek poročila NO - vrtec.docx</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Osnutek poročila NO - vrtec.docx</dc:title>
  <cp:lastModifiedBy>Barbara Gradišek</cp:lastModifiedBy>
  <cp:revision>13</cp:revision>
  <dcterms:created xsi:type="dcterms:W3CDTF">2013-03-06T15:31:00Z</dcterms:created>
  <dcterms:modified xsi:type="dcterms:W3CDTF">2013-05-06T13:37:00Z</dcterms:modified>
</cp:coreProperties>
</file>