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A21B3" w14:textId="77777777" w:rsidR="00776AB7" w:rsidRDefault="00776AB7"/>
    <w:p w14:paraId="1C3661BA" w14:textId="64BAAD4E" w:rsidR="00060189" w:rsidRPr="00CE1E14" w:rsidRDefault="00CE1E14" w:rsidP="00060189">
      <w:pPr>
        <w:spacing w:line="360" w:lineRule="auto"/>
        <w:jc w:val="center"/>
        <w:rPr>
          <w:b/>
          <w:lang w:val="sl-SI"/>
        </w:rPr>
      </w:pPr>
      <w:bookmarkStart w:id="0" w:name="_GoBack"/>
      <w:r w:rsidRPr="00CE1E14">
        <w:rPr>
          <w:b/>
          <w:lang w:val="sl-SI"/>
        </w:rPr>
        <w:t>OD DANES PRVIČ V SLOVENIJI IN EVROPI EVROPSKA KARTICA UGODNOSTI ZA INVALIDE</w:t>
      </w:r>
    </w:p>
    <w:bookmarkEnd w:id="0"/>
    <w:p w14:paraId="2A3ACA8B" w14:textId="77777777" w:rsidR="00060189" w:rsidRPr="00060189" w:rsidRDefault="00060189" w:rsidP="00060189">
      <w:pPr>
        <w:spacing w:line="360" w:lineRule="auto"/>
        <w:jc w:val="both"/>
        <w:rPr>
          <w:lang w:val="sl-SI"/>
        </w:rPr>
      </w:pPr>
    </w:p>
    <w:p w14:paraId="2A60484C" w14:textId="293A2A2D" w:rsidR="00060189" w:rsidRPr="00060189" w:rsidRDefault="00060189" w:rsidP="00060189">
      <w:pPr>
        <w:spacing w:line="360" w:lineRule="auto"/>
        <w:jc w:val="both"/>
        <w:rPr>
          <w:b/>
          <w:lang w:val="sl-SI"/>
        </w:rPr>
      </w:pPr>
      <w:r w:rsidRPr="00060189">
        <w:rPr>
          <w:b/>
          <w:lang w:val="sl-SI"/>
        </w:rPr>
        <w:t xml:space="preserve">Danes, 25. julija 2017, je v prostorih Ministrstva za delo, družino, socialne zadeve in enake možnosti potekala novinarska konferenca, na kateri </w:t>
      </w:r>
      <w:r w:rsidR="00A71EFA">
        <w:rPr>
          <w:b/>
          <w:lang w:val="sl-SI"/>
        </w:rPr>
        <w:t>je bila javnosti prvič predstavljena evropska kartica</w:t>
      </w:r>
      <w:r w:rsidRPr="00060189">
        <w:rPr>
          <w:b/>
          <w:lang w:val="sl-SI"/>
        </w:rPr>
        <w:t xml:space="preserve"> ugodnosti za invalide. </w:t>
      </w:r>
      <w:r w:rsidR="00A71EFA">
        <w:rPr>
          <w:b/>
          <w:lang w:val="sl-SI"/>
        </w:rPr>
        <w:t>V</w:t>
      </w:r>
      <w:r w:rsidR="00A71EFA" w:rsidRPr="00A71EFA">
        <w:rPr>
          <w:b/>
          <w:lang w:val="sl-SI"/>
        </w:rPr>
        <w:t xml:space="preserve"> okviru projekta, ki ga podpira Evropski socialni sklad, </w:t>
      </w:r>
      <w:r w:rsidR="00A71EFA">
        <w:rPr>
          <w:b/>
          <w:lang w:val="sl-SI"/>
        </w:rPr>
        <w:t xml:space="preserve">sta kartico </w:t>
      </w:r>
      <w:r w:rsidR="00A71EFA" w:rsidRPr="00A71EFA">
        <w:rPr>
          <w:b/>
          <w:lang w:val="sl-SI"/>
        </w:rPr>
        <w:t xml:space="preserve">zasnovala Ministrstvo za delo, družino, socialne zadeve in enake možnosti ter Nacionalni svet invalidskih organizacij Slovenije. </w:t>
      </w:r>
      <w:r w:rsidR="00CE1E14">
        <w:rPr>
          <w:b/>
          <w:lang w:val="sl-SI"/>
        </w:rPr>
        <w:t>Kartica je od danes upravičencem na volj</w:t>
      </w:r>
      <w:r w:rsidR="00A71EFA">
        <w:rPr>
          <w:b/>
          <w:lang w:val="sl-SI"/>
        </w:rPr>
        <w:t>o na vseh upravnih enotah po Sloveniji.</w:t>
      </w:r>
    </w:p>
    <w:p w14:paraId="0B6B2142" w14:textId="4C606882" w:rsidR="00AE0D3A" w:rsidRPr="00060189" w:rsidRDefault="00AE0D3A" w:rsidP="00060189">
      <w:pPr>
        <w:spacing w:line="360" w:lineRule="auto"/>
        <w:jc w:val="both"/>
        <w:rPr>
          <w:lang w:val="sl-SI"/>
        </w:rPr>
      </w:pPr>
    </w:p>
    <w:p w14:paraId="29961174" w14:textId="66834CC7" w:rsidR="00060189" w:rsidRDefault="00060189" w:rsidP="00060189">
      <w:pPr>
        <w:spacing w:line="360" w:lineRule="auto"/>
        <w:jc w:val="both"/>
        <w:rPr>
          <w:lang w:val="sl-SI"/>
        </w:rPr>
      </w:pPr>
      <w:r w:rsidRPr="00060189">
        <w:rPr>
          <w:lang w:val="sl-SI"/>
        </w:rPr>
        <w:t xml:space="preserve">Zbrane je najprej nagovorila ministrica za delo, družino, socialne zadeve in enake možnosti </w:t>
      </w:r>
      <w:r w:rsidRPr="008C0B3B">
        <w:rPr>
          <w:b/>
          <w:lang w:val="sl-SI"/>
        </w:rPr>
        <w:t>Anja Kopač Mrak</w:t>
      </w:r>
      <w:r w:rsidRPr="00060189">
        <w:rPr>
          <w:lang w:val="sl-SI"/>
        </w:rPr>
        <w:t xml:space="preserve">, ki je poudarila, da je kartica projekt EU, Slovenija pa je od vseh sodelujočih držav članic – poleg nje so vanj vključene še </w:t>
      </w:r>
      <w:r w:rsidRPr="00060189">
        <w:rPr>
          <w:rFonts w:cs="Arial"/>
          <w:lang w:val="sl-SI"/>
        </w:rPr>
        <w:t xml:space="preserve"> Belgije, Cipra, Estonije, Finske, Italije, Malta in Romunija – </w:t>
      </w:r>
      <w:r w:rsidRPr="008C0B3B">
        <w:rPr>
          <w:rFonts w:cs="Arial"/>
          <w:b/>
          <w:lang w:val="sl-SI"/>
        </w:rPr>
        <w:t>prejela največ finančnih sredstev in bo projekt tudi edina zaključila v roku</w:t>
      </w:r>
      <w:r w:rsidRPr="00060189">
        <w:rPr>
          <w:rFonts w:cs="Arial"/>
          <w:lang w:val="sl-SI"/>
        </w:rPr>
        <w:t>. Tako je za vse upravičence na v</w:t>
      </w:r>
      <w:r w:rsidR="00CE1E14">
        <w:rPr>
          <w:rFonts w:cs="Arial"/>
          <w:lang w:val="sl-SI"/>
        </w:rPr>
        <w:t>oljo že od danes naprej, način pridobitve pa je zelo preprost</w:t>
      </w:r>
      <w:r w:rsidRPr="00060189">
        <w:rPr>
          <w:rFonts w:cs="Arial"/>
          <w:lang w:val="sl-SI"/>
        </w:rPr>
        <w:t xml:space="preserve">: vlogo za kartico lahko invalidi brezplačno vložijo na kateri koli </w:t>
      </w:r>
      <w:r w:rsidR="008C0B3B">
        <w:rPr>
          <w:rFonts w:cs="Arial"/>
          <w:lang w:val="sl-SI"/>
        </w:rPr>
        <w:t xml:space="preserve">izmed </w:t>
      </w:r>
      <w:r w:rsidR="008C0B3B" w:rsidRPr="00CE1E14">
        <w:rPr>
          <w:rFonts w:cs="Arial"/>
          <w:b/>
          <w:lang w:val="sl-SI"/>
        </w:rPr>
        <w:t xml:space="preserve">58 </w:t>
      </w:r>
      <w:r w:rsidRPr="00CE1E14">
        <w:rPr>
          <w:rFonts w:cs="Arial"/>
          <w:b/>
          <w:lang w:val="sl-SI"/>
        </w:rPr>
        <w:t>upravni</w:t>
      </w:r>
      <w:r w:rsidR="008C0B3B" w:rsidRPr="00CE1E14">
        <w:rPr>
          <w:rFonts w:cs="Arial"/>
          <w:b/>
          <w:lang w:val="sl-SI"/>
        </w:rPr>
        <w:t>h enot</w:t>
      </w:r>
      <w:r w:rsidR="008C0B3B">
        <w:rPr>
          <w:rFonts w:cs="Arial"/>
          <w:lang w:val="sl-SI"/>
        </w:rPr>
        <w:t xml:space="preserve"> po vsej </w:t>
      </w:r>
      <w:r w:rsidRPr="00060189">
        <w:rPr>
          <w:rFonts w:cs="Arial"/>
          <w:lang w:val="sl-SI"/>
        </w:rPr>
        <w:t xml:space="preserve">Sloveniji, kartico pa bodo nato na dom prejeli </w:t>
      </w:r>
      <w:r w:rsidRPr="00CE1E14">
        <w:rPr>
          <w:rFonts w:cs="Arial"/>
          <w:b/>
          <w:lang w:val="sl-SI"/>
        </w:rPr>
        <w:t>v desetih dneh od oddaje vloge</w:t>
      </w:r>
      <w:r w:rsidRPr="00060189">
        <w:rPr>
          <w:rFonts w:cs="Arial"/>
          <w:lang w:val="sl-SI"/>
        </w:rPr>
        <w:t xml:space="preserve">. </w:t>
      </w:r>
      <w:r w:rsidR="00F3464E">
        <w:rPr>
          <w:rFonts w:cs="Arial"/>
          <w:lang w:val="sl-SI"/>
        </w:rPr>
        <w:t>»</w:t>
      </w:r>
      <w:r w:rsidR="00CE1E14">
        <w:rPr>
          <w:rFonts w:cs="Arial"/>
          <w:lang w:val="sl-SI"/>
        </w:rPr>
        <w:t xml:space="preserve">Še posebej želimo spodbuditi podjetja k družbeni odgovornosti, tako da bi se v čim večjem številu pridružila projektu in ponudila popuste invalidom,« </w:t>
      </w:r>
      <w:r w:rsidR="00F3464E">
        <w:rPr>
          <w:rFonts w:cs="Arial"/>
          <w:lang w:val="sl-SI"/>
        </w:rPr>
        <w:t xml:space="preserve">je še povedala in s tem opozorila </w:t>
      </w:r>
      <w:r w:rsidR="00CE1E14">
        <w:rPr>
          <w:rFonts w:cs="Arial"/>
          <w:lang w:val="sl-SI"/>
        </w:rPr>
        <w:t xml:space="preserve">tudi </w:t>
      </w:r>
      <w:r w:rsidR="00F3464E">
        <w:rPr>
          <w:rFonts w:cs="Arial"/>
          <w:lang w:val="sl-SI"/>
        </w:rPr>
        <w:t xml:space="preserve">na ekonomski potencial projekta. S ponujanjem posebnih </w:t>
      </w:r>
      <w:r w:rsidR="00F3464E" w:rsidRPr="00CE1E14">
        <w:rPr>
          <w:rFonts w:cs="Arial"/>
          <w:b/>
          <w:lang w:val="sl-SI"/>
        </w:rPr>
        <w:t xml:space="preserve">komercialnih popustov invalidom na področju </w:t>
      </w:r>
      <w:r w:rsidR="00F3464E" w:rsidRPr="00CE1E14">
        <w:rPr>
          <w:b/>
          <w:lang w:val="sl-SI"/>
        </w:rPr>
        <w:t>umetnosti in kulture, turizma, športa, izobraževanja, trgovine in transporta</w:t>
      </w:r>
      <w:r w:rsidR="00F3464E">
        <w:rPr>
          <w:lang w:val="sl-SI"/>
        </w:rPr>
        <w:t xml:space="preserve"> bodo namreč ponudniki lahko pokazali, da so del odgovorne družbe, hkrati pa povečali svojo prepoznavnost in pridobili nove uporabnike. </w:t>
      </w:r>
    </w:p>
    <w:p w14:paraId="309BF85D" w14:textId="77777777" w:rsidR="00F3464E" w:rsidRDefault="00F3464E" w:rsidP="00060189">
      <w:pPr>
        <w:spacing w:line="360" w:lineRule="auto"/>
        <w:jc w:val="both"/>
        <w:rPr>
          <w:lang w:val="sl-SI"/>
        </w:rPr>
      </w:pPr>
    </w:p>
    <w:p w14:paraId="6A93C899" w14:textId="747EE835" w:rsidR="00F3464E" w:rsidRPr="008C0B3B" w:rsidRDefault="00F3464E" w:rsidP="008C0B3B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V nadaljevanju je spregovoril tudi uporabnik kartice, </w:t>
      </w:r>
      <w:r w:rsidRPr="008C0B3B">
        <w:rPr>
          <w:b/>
          <w:lang w:val="sl-SI"/>
        </w:rPr>
        <w:t>Dušan Filiček iz Zavoda Korak v Kranju</w:t>
      </w:r>
      <w:r>
        <w:rPr>
          <w:lang w:val="sl-SI"/>
        </w:rPr>
        <w:t xml:space="preserve">, za katerega bo uporaba kartice gotovo bistveno prispevala k dvigu kvalitete življenja. »S kartico bom šel lažje na dopust, smučanje, večerjo ali </w:t>
      </w:r>
      <w:r>
        <w:rPr>
          <w:lang w:val="sl-SI"/>
        </w:rPr>
        <w:lastRenderedPageBreak/>
        <w:t xml:space="preserve">na kak koncert v Filharmonijo,« je povedal in dodal, da ga veseli, da bo zdaj za vse te aktivnosti plačal manj, pred tem mu z ozirom na lastno finančno stanje in finančno stanje njegovih družinskih članov namreč niso bile dostopne. Zaradi kartice bo tudi več potoval, o njenih prednostih pa osveščal tudi druge. »Med ugodnostmi, ki </w:t>
      </w:r>
      <w:r w:rsidRPr="008C0B3B">
        <w:rPr>
          <w:lang w:val="sl-SI"/>
        </w:rPr>
        <w:t xml:space="preserve">so na voljo, si bom najprej privoščil izlet v živalski vrt z ženo,« je zaključil. ZOO Ljubljana namreč invalidom </w:t>
      </w:r>
      <w:r w:rsidR="00BE7EEB" w:rsidRPr="008C0B3B">
        <w:rPr>
          <w:lang w:val="sl-SI"/>
        </w:rPr>
        <w:t xml:space="preserve">s kartico </w:t>
      </w:r>
      <w:r w:rsidRPr="008C0B3B">
        <w:rPr>
          <w:lang w:val="sl-SI"/>
        </w:rPr>
        <w:t xml:space="preserve">ponuja kar </w:t>
      </w:r>
      <w:r w:rsidR="00BE7EEB" w:rsidRPr="008C0B3B">
        <w:rPr>
          <w:lang w:val="sl-SI"/>
        </w:rPr>
        <w:t xml:space="preserve">75 % ob nakupu vstopnice, v ponudbo pa je vključena tudi brezplačna izposoja invalidskega vozička. </w:t>
      </w:r>
      <w:r w:rsidR="008C0B3B" w:rsidRPr="008C0B3B">
        <w:rPr>
          <w:lang w:val="sl-SI"/>
        </w:rPr>
        <w:t>Poleg</w:t>
      </w:r>
      <w:r w:rsidR="00CE1E14">
        <w:rPr>
          <w:lang w:val="sl-SI"/>
        </w:rPr>
        <w:t xml:space="preserve"> ZOO Ljubljana </w:t>
      </w:r>
      <w:r w:rsidR="008C0B3B" w:rsidRPr="008C0B3B">
        <w:rPr>
          <w:lang w:val="sl-SI"/>
        </w:rPr>
        <w:t xml:space="preserve">je v bazi ugodnosti trenutno še okoli </w:t>
      </w:r>
      <w:r w:rsidR="008C0B3B" w:rsidRPr="00CE1E14">
        <w:rPr>
          <w:b/>
          <w:lang w:val="sl-SI"/>
        </w:rPr>
        <w:t>200 ponudnikov</w:t>
      </w:r>
      <w:r w:rsidR="008C0B3B" w:rsidRPr="008C0B3B">
        <w:rPr>
          <w:lang w:val="sl-SI"/>
        </w:rPr>
        <w:t xml:space="preserve">, ki jih je mogoče ves čas spremljati na spletni povezavi </w:t>
      </w:r>
      <w:hyperlink r:id="rId8" w:history="1">
        <w:r w:rsidR="008C0B3B" w:rsidRPr="008C0B3B">
          <w:rPr>
            <w:rStyle w:val="Hyperlink"/>
            <w:b/>
            <w:lang w:val="sl-SI"/>
          </w:rPr>
          <w:t>www.invalidska-kartica.si</w:t>
        </w:r>
      </w:hyperlink>
      <w:r w:rsidR="008C0B3B" w:rsidRPr="008C0B3B">
        <w:rPr>
          <w:lang w:val="sl-SI"/>
        </w:rPr>
        <w:t xml:space="preserve">. Seznam </w:t>
      </w:r>
      <w:r w:rsidR="00CE1E14">
        <w:rPr>
          <w:lang w:val="sl-SI"/>
        </w:rPr>
        <w:t xml:space="preserve">ponudnikov se bo </w:t>
      </w:r>
      <w:r w:rsidR="008C0B3B" w:rsidRPr="008C0B3B">
        <w:rPr>
          <w:lang w:val="sl-SI"/>
        </w:rPr>
        <w:t xml:space="preserve">ves čas dopolnjeval, Uporabniki bodo imeli možnost uporabe baze ugodnosti tudi preko </w:t>
      </w:r>
      <w:r w:rsidR="008C0B3B" w:rsidRPr="00CE1E14">
        <w:rPr>
          <w:b/>
          <w:lang w:val="sl-SI"/>
        </w:rPr>
        <w:t>mobilne aplikacije na svojem mobilnem telefonu</w:t>
      </w:r>
      <w:r w:rsidR="008C0B3B" w:rsidRPr="008C0B3B">
        <w:rPr>
          <w:lang w:val="sl-SI"/>
        </w:rPr>
        <w:t>. Mobilno aplikacijo bodo uporabniki lahko poiskali pod naslovom invalidska kartica.</w:t>
      </w:r>
    </w:p>
    <w:p w14:paraId="4C9ED36C" w14:textId="77777777" w:rsidR="00BE7EEB" w:rsidRPr="008C0B3B" w:rsidRDefault="00BE7EEB" w:rsidP="008C0B3B">
      <w:pPr>
        <w:spacing w:line="360" w:lineRule="auto"/>
        <w:jc w:val="both"/>
        <w:rPr>
          <w:lang w:val="sl-SI"/>
        </w:rPr>
      </w:pPr>
    </w:p>
    <w:p w14:paraId="21064485" w14:textId="66BADE4F" w:rsidR="008C0B3B" w:rsidRPr="008C0B3B" w:rsidRDefault="008C0B3B" w:rsidP="008C0B3B">
      <w:pPr>
        <w:spacing w:line="360" w:lineRule="auto"/>
        <w:jc w:val="both"/>
        <w:rPr>
          <w:b/>
          <w:lang w:val="sl-SI"/>
        </w:rPr>
      </w:pPr>
      <w:r w:rsidRPr="008C0B3B">
        <w:rPr>
          <w:lang w:val="sl-SI"/>
        </w:rPr>
        <w:t xml:space="preserve">Kartica ugodnosti je </w:t>
      </w:r>
      <w:r w:rsidRPr="008C0B3B">
        <w:rPr>
          <w:b/>
          <w:lang w:val="sl-SI"/>
        </w:rPr>
        <w:t>namenjena vsem, ki izpolnjujejo sledeče pogoje:</w:t>
      </w:r>
    </w:p>
    <w:p w14:paraId="087F5B6A" w14:textId="77777777" w:rsidR="008C0B3B" w:rsidRPr="008C0B3B" w:rsidRDefault="008C0B3B" w:rsidP="008C0B3B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 xml:space="preserve">delovni invalidi I., II. in III. kategorije po Zakonu o pokojninskem in invalidskem zavarovanju </w:t>
      </w:r>
    </w:p>
    <w:p w14:paraId="18E2B4B9" w14:textId="77777777" w:rsidR="008C0B3B" w:rsidRPr="008C0B3B" w:rsidRDefault="008C0B3B" w:rsidP="008C0B3B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 xml:space="preserve">osebe s priznano telesno okvaro:  </w:t>
      </w:r>
    </w:p>
    <w:p w14:paraId="4C3BCE0F" w14:textId="77777777" w:rsidR="008C0B3B" w:rsidRPr="008C0B3B" w:rsidRDefault="008C0B3B" w:rsidP="008C0B3B">
      <w:pPr>
        <w:pStyle w:val="ListParagraph"/>
        <w:numPr>
          <w:ilvl w:val="1"/>
          <w:numId w:val="4"/>
        </w:numPr>
        <w:spacing w:after="100" w:afterAutospacing="1"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90% telesno okvaro zaradi izgube vida,</w:t>
      </w:r>
    </w:p>
    <w:p w14:paraId="2D5CFFC6" w14:textId="77777777" w:rsidR="008C0B3B" w:rsidRPr="008C0B3B" w:rsidRDefault="008C0B3B" w:rsidP="008C0B3B">
      <w:pPr>
        <w:pStyle w:val="ListParagraph"/>
        <w:numPr>
          <w:ilvl w:val="1"/>
          <w:numId w:val="4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70 % telesno okvaro zaradi izgube sluha in</w:t>
      </w:r>
    </w:p>
    <w:p w14:paraId="63CD1F1A" w14:textId="77777777" w:rsidR="008C0B3B" w:rsidRPr="008C0B3B" w:rsidRDefault="008C0B3B" w:rsidP="008C0B3B">
      <w:pPr>
        <w:pStyle w:val="ListParagraph"/>
        <w:numPr>
          <w:ilvl w:val="1"/>
          <w:numId w:val="4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najmanj 80% telesno okvaro,če se te seštevajo in je najnižji odstotek za eno  vsaj 70%;</w:t>
      </w:r>
    </w:p>
    <w:p w14:paraId="4F2F0FEC" w14:textId="77777777" w:rsidR="008C0B3B" w:rsidRPr="008C0B3B" w:rsidRDefault="008C0B3B" w:rsidP="008C0B3B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 xml:space="preserve">invalidi po Zakonu o zaposlitveni rehabilitaciji in zaposlovanju invalidov; </w:t>
      </w:r>
    </w:p>
    <w:p w14:paraId="5B82A4A7" w14:textId="77777777" w:rsidR="008C0B3B" w:rsidRPr="008C0B3B" w:rsidRDefault="008C0B3B" w:rsidP="008C0B3B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invalidne osebe po Zakonu o usposabljanju in zaposlovanju invalidov ;</w:t>
      </w:r>
    </w:p>
    <w:p w14:paraId="3DF3854B" w14:textId="77777777" w:rsidR="008C0B3B" w:rsidRPr="008C0B3B" w:rsidRDefault="008C0B3B" w:rsidP="008C0B3B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invalidi po Zakonu o vojnih invalidih;</w:t>
      </w:r>
    </w:p>
    <w:p w14:paraId="424D53EE" w14:textId="77777777" w:rsidR="008C0B3B" w:rsidRPr="008C0B3B" w:rsidRDefault="008C0B3B" w:rsidP="008C0B3B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 xml:space="preserve">osebe z zmerno, težjo in težko duševno ter najtežjo telesno prizadetostjo po Zakonu o družbenem varstvu duševno in telesno prizadetih oseb; </w:t>
      </w:r>
    </w:p>
    <w:p w14:paraId="2B99A874" w14:textId="77777777" w:rsidR="008C0B3B" w:rsidRPr="008C0B3B" w:rsidRDefault="008C0B3B" w:rsidP="008C0B3B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otroci in mladostniki, razvrščeni po Zakonu o izobraževanju in usposabljanju otrok in mladostnikov z motnjami v telesnem in duševnem razvoju in po Zakonu o usmerjanju otrok s posebnimi potrebami:</w:t>
      </w:r>
    </w:p>
    <w:p w14:paraId="40E03F8F" w14:textId="77777777" w:rsidR="008C0B3B" w:rsidRPr="008C0B3B" w:rsidRDefault="008C0B3B" w:rsidP="008C0B3B">
      <w:pPr>
        <w:pStyle w:val="ListParagraph"/>
        <w:numPr>
          <w:ilvl w:val="1"/>
          <w:numId w:val="2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otroci z motnjami v duševnem razvoju</w:t>
      </w:r>
    </w:p>
    <w:p w14:paraId="75F32D7C" w14:textId="77777777" w:rsidR="008C0B3B" w:rsidRPr="008C0B3B" w:rsidRDefault="008C0B3B" w:rsidP="008C0B3B">
      <w:pPr>
        <w:pStyle w:val="ListParagraph"/>
        <w:numPr>
          <w:ilvl w:val="1"/>
          <w:numId w:val="2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gluhi otroci</w:t>
      </w:r>
    </w:p>
    <w:p w14:paraId="0D24D467" w14:textId="77777777" w:rsidR="008C0B3B" w:rsidRPr="008C0B3B" w:rsidRDefault="008C0B3B" w:rsidP="008C0B3B">
      <w:pPr>
        <w:pStyle w:val="ListParagraph"/>
        <w:numPr>
          <w:ilvl w:val="1"/>
          <w:numId w:val="2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slepi otroci</w:t>
      </w:r>
    </w:p>
    <w:p w14:paraId="58F52BB0" w14:textId="77777777" w:rsidR="008C0B3B" w:rsidRPr="008C0B3B" w:rsidRDefault="008C0B3B" w:rsidP="008C0B3B">
      <w:pPr>
        <w:pStyle w:val="ListParagraph"/>
        <w:numPr>
          <w:ilvl w:val="1"/>
          <w:numId w:val="2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gibalno ovirani otroci in</w:t>
      </w:r>
    </w:p>
    <w:p w14:paraId="5099E896" w14:textId="77777777" w:rsidR="008C0B3B" w:rsidRPr="008C0B3B" w:rsidRDefault="008C0B3B" w:rsidP="008C0B3B">
      <w:pPr>
        <w:pStyle w:val="ListParagraph"/>
        <w:numPr>
          <w:ilvl w:val="1"/>
          <w:numId w:val="2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otroci z avtističnimi motnjami;</w:t>
      </w:r>
    </w:p>
    <w:p w14:paraId="3B7CA0AD" w14:textId="77777777" w:rsidR="008C0B3B" w:rsidRPr="008C0B3B" w:rsidRDefault="008C0B3B" w:rsidP="008C0B3B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osebe z gluhoslepoto – 50% okvara sluha po Fowlerju in 1., 2., 3., 4. ali 5. kategorija slepote in slabovidnosti;</w:t>
      </w:r>
    </w:p>
    <w:p w14:paraId="372CF30D" w14:textId="77777777" w:rsidR="008C0B3B" w:rsidRPr="008C0B3B" w:rsidRDefault="008C0B3B" w:rsidP="008C0B3B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  <w:lang w:val="sl-SI"/>
        </w:rPr>
      </w:pPr>
      <w:r w:rsidRPr="008C0B3B">
        <w:rPr>
          <w:rFonts w:cs="Arial"/>
          <w:lang w:val="sl-SI"/>
        </w:rPr>
        <w:t>invalidi po predpisih drugih držav članic EU.</w:t>
      </w:r>
    </w:p>
    <w:p w14:paraId="29EF6A82" w14:textId="77777777" w:rsidR="008C0B3B" w:rsidRPr="008C0B3B" w:rsidRDefault="008C0B3B" w:rsidP="008C0B3B">
      <w:pPr>
        <w:spacing w:line="360" w:lineRule="auto"/>
        <w:ind w:left="360"/>
        <w:jc w:val="both"/>
        <w:rPr>
          <w:rFonts w:cs="Arial"/>
          <w:lang w:val="sl-SI"/>
        </w:rPr>
      </w:pPr>
    </w:p>
    <w:p w14:paraId="0421B21A" w14:textId="4D60BB5A" w:rsidR="00BE7EEB" w:rsidRDefault="008C0B3B" w:rsidP="00CE1E14">
      <w:pPr>
        <w:spacing w:line="360" w:lineRule="auto"/>
        <w:jc w:val="both"/>
        <w:rPr>
          <w:lang w:val="sl-SI"/>
        </w:rPr>
      </w:pPr>
      <w:r w:rsidRPr="008C0B3B">
        <w:rPr>
          <w:rFonts w:cs="Arial"/>
          <w:lang w:val="sl-SI"/>
        </w:rPr>
        <w:t xml:space="preserve">Po besedah ministrice je </w:t>
      </w:r>
      <w:r w:rsidR="00CE1E14">
        <w:rPr>
          <w:rFonts w:cs="Arial"/>
          <w:lang w:val="sl-SI"/>
        </w:rPr>
        <w:t>upravičenih do kartice</w:t>
      </w:r>
      <w:r w:rsidRPr="008C0B3B">
        <w:rPr>
          <w:rFonts w:cs="Arial"/>
          <w:lang w:val="sl-SI"/>
        </w:rPr>
        <w:t xml:space="preserve"> v Sloveniji približno 170 000, kar predstavlja </w:t>
      </w:r>
      <w:r w:rsidRPr="008C0B3B">
        <w:rPr>
          <w:lang w:val="sl-SI"/>
        </w:rPr>
        <w:t xml:space="preserve">med 12 in 13 % populacije. Kartica je namenjena tudi </w:t>
      </w:r>
      <w:r w:rsidRPr="008C0B3B">
        <w:rPr>
          <w:b/>
          <w:lang w:val="sl-SI"/>
        </w:rPr>
        <w:t xml:space="preserve">osveščanju širše javnosti o </w:t>
      </w:r>
      <w:r w:rsidRPr="008C0B3B">
        <w:rPr>
          <w:lang w:val="sl-SI"/>
        </w:rPr>
        <w:t xml:space="preserve">njihovih zmožnostih, potrebah, željah, načinu življenja, predvsem pa o tem, da so tudi invalidi ljudje, ki potujejo kot vsi drugi in si povsod zaslužijo podobno obravnavo. Pozitiven učinek EU kartice ugodnosti za invalide bo </w:t>
      </w:r>
      <w:r w:rsidRPr="008C0B3B">
        <w:rPr>
          <w:b/>
          <w:lang w:val="sl-SI"/>
        </w:rPr>
        <w:t>večje vključevanje invalidov v družbo</w:t>
      </w:r>
      <w:r w:rsidRPr="008C0B3B">
        <w:rPr>
          <w:lang w:val="sl-SI"/>
        </w:rPr>
        <w:t xml:space="preserve"> – ne le domačo, temveč tudi v družbo EU, ter s tem večja kakovost njihovega življenja.</w:t>
      </w:r>
    </w:p>
    <w:p w14:paraId="689772C2" w14:textId="77777777" w:rsidR="00CE1E14" w:rsidRDefault="00CE1E14" w:rsidP="008C0B3B">
      <w:pPr>
        <w:spacing w:line="360" w:lineRule="auto"/>
        <w:ind w:left="360"/>
        <w:jc w:val="both"/>
        <w:rPr>
          <w:lang w:val="sl-SI"/>
        </w:rPr>
      </w:pPr>
    </w:p>
    <w:p w14:paraId="151A6C1F" w14:textId="1A56A8C7" w:rsidR="00CE1E14" w:rsidRPr="008C0B3B" w:rsidRDefault="00CE1E14" w:rsidP="00CE1E14">
      <w:pPr>
        <w:spacing w:line="360" w:lineRule="auto"/>
        <w:jc w:val="both"/>
        <w:rPr>
          <w:lang w:val="sl-SI"/>
        </w:rPr>
      </w:pPr>
      <w:r w:rsidRPr="00CE1E14">
        <w:rPr>
          <w:lang w:val="sl-SI"/>
        </w:rPr>
        <w:t xml:space="preserve">Vrednost projekta je </w:t>
      </w:r>
      <w:r w:rsidRPr="00CE1E14">
        <w:rPr>
          <w:b/>
          <w:lang w:val="sl-SI"/>
        </w:rPr>
        <w:t>511.775,00 EUR</w:t>
      </w:r>
      <w:r w:rsidRPr="00CE1E14">
        <w:rPr>
          <w:lang w:val="sl-SI"/>
        </w:rPr>
        <w:t xml:space="preserve">, od tega je evropski delež </w:t>
      </w:r>
      <w:r w:rsidRPr="00CE1E14">
        <w:rPr>
          <w:b/>
          <w:lang w:val="sl-SI"/>
        </w:rPr>
        <w:t>80%, delež MDDSZ pa 20%.</w:t>
      </w:r>
    </w:p>
    <w:p w14:paraId="7BAB300F" w14:textId="77777777" w:rsidR="008C0B3B" w:rsidRPr="008C0B3B" w:rsidRDefault="008C0B3B" w:rsidP="008C0B3B">
      <w:pPr>
        <w:spacing w:line="360" w:lineRule="auto"/>
        <w:ind w:left="360"/>
        <w:jc w:val="both"/>
        <w:rPr>
          <w:lang w:val="sl-SI"/>
        </w:rPr>
      </w:pPr>
    </w:p>
    <w:p w14:paraId="009757C3" w14:textId="77777777" w:rsidR="008C0B3B" w:rsidRPr="008C0B3B" w:rsidRDefault="008C0B3B" w:rsidP="008C0B3B">
      <w:pPr>
        <w:spacing w:line="360" w:lineRule="auto"/>
        <w:jc w:val="both"/>
        <w:rPr>
          <w:b/>
          <w:u w:val="single"/>
          <w:lang w:val="sl-SI"/>
        </w:rPr>
      </w:pPr>
      <w:r w:rsidRPr="008C0B3B">
        <w:rPr>
          <w:b/>
          <w:u w:val="single"/>
          <w:lang w:val="sl-SI"/>
        </w:rPr>
        <w:t>Dodatne informacije:</w:t>
      </w:r>
    </w:p>
    <w:p w14:paraId="490E8152" w14:textId="77777777" w:rsidR="008C0B3B" w:rsidRPr="008C0B3B" w:rsidRDefault="008C0B3B" w:rsidP="008C0B3B">
      <w:pPr>
        <w:spacing w:line="360" w:lineRule="auto"/>
        <w:jc w:val="both"/>
        <w:rPr>
          <w:u w:val="single"/>
          <w:lang w:val="sl-SI"/>
        </w:rPr>
      </w:pPr>
      <w:r w:rsidRPr="008C0B3B">
        <w:rPr>
          <w:u w:val="single"/>
          <w:lang w:val="sl-SI"/>
        </w:rPr>
        <w:t xml:space="preserve">Goran Kustura, NSIOS, </w:t>
      </w:r>
      <w:hyperlink r:id="rId9" w:history="1">
        <w:r w:rsidRPr="008C0B3B">
          <w:rPr>
            <w:rStyle w:val="Hyperlink"/>
            <w:lang w:val="sl-SI"/>
          </w:rPr>
          <w:t>goran.kustura@nsios.si</w:t>
        </w:r>
      </w:hyperlink>
      <w:r w:rsidRPr="008C0B3B">
        <w:rPr>
          <w:u w:val="single"/>
          <w:lang w:val="sl-SI"/>
        </w:rPr>
        <w:t xml:space="preserve"> (vsebina projekta)</w:t>
      </w:r>
    </w:p>
    <w:p w14:paraId="4C840A72" w14:textId="77777777" w:rsidR="008C0B3B" w:rsidRPr="008C0B3B" w:rsidRDefault="008C0B3B" w:rsidP="008C0B3B">
      <w:pPr>
        <w:spacing w:line="360" w:lineRule="auto"/>
        <w:jc w:val="both"/>
        <w:rPr>
          <w:u w:val="single"/>
          <w:lang w:val="sl-SI"/>
        </w:rPr>
      </w:pPr>
      <w:r w:rsidRPr="008C0B3B">
        <w:rPr>
          <w:u w:val="single"/>
          <w:lang w:val="sl-SI"/>
        </w:rPr>
        <w:t xml:space="preserve">Suzana Tajnik, MDDSZ, </w:t>
      </w:r>
      <w:hyperlink r:id="rId10" w:history="1">
        <w:r w:rsidRPr="008C0B3B">
          <w:rPr>
            <w:rStyle w:val="Hyperlink"/>
            <w:lang w:val="sl-SI"/>
          </w:rPr>
          <w:t>suzana.tajnik@gov.si</w:t>
        </w:r>
      </w:hyperlink>
      <w:r w:rsidRPr="008C0B3B">
        <w:rPr>
          <w:u w:val="single"/>
          <w:lang w:val="sl-SI"/>
        </w:rPr>
        <w:t xml:space="preserve"> (vsebina projekta)</w:t>
      </w:r>
    </w:p>
    <w:p w14:paraId="00918CB0" w14:textId="77777777" w:rsidR="008C0B3B" w:rsidRPr="008C0B3B" w:rsidRDefault="008C0B3B" w:rsidP="008C0B3B">
      <w:pPr>
        <w:spacing w:line="360" w:lineRule="auto"/>
        <w:jc w:val="both"/>
        <w:rPr>
          <w:u w:val="single"/>
          <w:lang w:val="sl-SI"/>
        </w:rPr>
      </w:pPr>
      <w:r w:rsidRPr="008C0B3B">
        <w:rPr>
          <w:u w:val="single"/>
          <w:lang w:val="sl-SI"/>
        </w:rPr>
        <w:t xml:space="preserve">Tanja Dular, MDDSZ,  </w:t>
      </w:r>
      <w:hyperlink r:id="rId11" w:history="1">
        <w:r w:rsidRPr="008C0B3B">
          <w:rPr>
            <w:rStyle w:val="Hyperlink"/>
            <w:lang w:val="sl-SI"/>
          </w:rPr>
          <w:t>tanja.dular@gov.si</w:t>
        </w:r>
      </w:hyperlink>
      <w:r w:rsidRPr="008C0B3B">
        <w:rPr>
          <w:u w:val="single"/>
          <w:lang w:val="sl-SI"/>
        </w:rPr>
        <w:t xml:space="preserve"> (zakonodaja)</w:t>
      </w:r>
    </w:p>
    <w:p w14:paraId="715FBB0A" w14:textId="77777777" w:rsidR="008C0B3B" w:rsidRPr="00060189" w:rsidRDefault="008C0B3B" w:rsidP="008C0B3B">
      <w:pPr>
        <w:spacing w:line="276" w:lineRule="auto"/>
        <w:ind w:left="360"/>
        <w:jc w:val="both"/>
        <w:rPr>
          <w:lang w:val="sl-SI"/>
        </w:rPr>
      </w:pPr>
    </w:p>
    <w:sectPr w:rsidR="008C0B3B" w:rsidRPr="00060189" w:rsidSect="004F4D14">
      <w:head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60447" w14:textId="77777777" w:rsidR="00A71EFA" w:rsidRDefault="00A71EFA" w:rsidP="00AE0D3A">
      <w:r>
        <w:separator/>
      </w:r>
    </w:p>
  </w:endnote>
  <w:endnote w:type="continuationSeparator" w:id="0">
    <w:p w14:paraId="3130F445" w14:textId="77777777" w:rsidR="00A71EFA" w:rsidRDefault="00A71EFA" w:rsidP="00AE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78B17" w14:textId="77777777" w:rsidR="00A71EFA" w:rsidRDefault="00A71EFA" w:rsidP="00AE0D3A">
      <w:r>
        <w:separator/>
      </w:r>
    </w:p>
  </w:footnote>
  <w:footnote w:type="continuationSeparator" w:id="0">
    <w:p w14:paraId="516C0B9E" w14:textId="77777777" w:rsidR="00A71EFA" w:rsidRDefault="00A71EFA" w:rsidP="00AE0D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8CCA6" w14:textId="77777777" w:rsidR="00A71EFA" w:rsidRDefault="00A71EFA">
    <w:pPr>
      <w:pStyle w:val="Header"/>
    </w:pPr>
    <w:r>
      <w:rPr>
        <w:noProof/>
      </w:rPr>
      <w:drawing>
        <wp:inline distT="0" distB="0" distL="0" distR="0" wp14:anchorId="1328AF76" wp14:editId="1ADFFC8A">
          <wp:extent cx="5270500" cy="1055795"/>
          <wp:effectExtent l="0" t="0" r="0" b="1143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5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5E59"/>
    <w:multiLevelType w:val="hybridMultilevel"/>
    <w:tmpl w:val="76C83ADE"/>
    <w:lvl w:ilvl="0" w:tplc="49B881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A5656"/>
    <w:multiLevelType w:val="hybridMultilevel"/>
    <w:tmpl w:val="130CFE4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C67E5"/>
    <w:multiLevelType w:val="hybridMultilevel"/>
    <w:tmpl w:val="1F9E57BA"/>
    <w:lvl w:ilvl="0" w:tplc="49B881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F3DA0"/>
    <w:multiLevelType w:val="hybridMultilevel"/>
    <w:tmpl w:val="8F120792"/>
    <w:lvl w:ilvl="0" w:tplc="49B881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98"/>
    <w:rsid w:val="00060189"/>
    <w:rsid w:val="004F4D14"/>
    <w:rsid w:val="00776AB7"/>
    <w:rsid w:val="008C0B3B"/>
    <w:rsid w:val="00A5203A"/>
    <w:rsid w:val="00A71EFA"/>
    <w:rsid w:val="00A71F98"/>
    <w:rsid w:val="00AE0D3A"/>
    <w:rsid w:val="00BE7EEB"/>
    <w:rsid w:val="00CE1E14"/>
    <w:rsid w:val="00F3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DDDC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D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D3A"/>
  </w:style>
  <w:style w:type="paragraph" w:styleId="Footer">
    <w:name w:val="footer"/>
    <w:basedOn w:val="Normal"/>
    <w:link w:val="FooterChar"/>
    <w:uiPriority w:val="99"/>
    <w:unhideWhenUsed/>
    <w:rsid w:val="00AE0D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D3A"/>
  </w:style>
  <w:style w:type="paragraph" w:styleId="BalloonText">
    <w:name w:val="Balloon Text"/>
    <w:basedOn w:val="Normal"/>
    <w:link w:val="BalloonTextChar"/>
    <w:uiPriority w:val="99"/>
    <w:semiHidden/>
    <w:unhideWhenUsed/>
    <w:rsid w:val="00AE0D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3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0B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0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D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D3A"/>
  </w:style>
  <w:style w:type="paragraph" w:styleId="Footer">
    <w:name w:val="footer"/>
    <w:basedOn w:val="Normal"/>
    <w:link w:val="FooterChar"/>
    <w:uiPriority w:val="99"/>
    <w:unhideWhenUsed/>
    <w:rsid w:val="00AE0D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D3A"/>
  </w:style>
  <w:style w:type="paragraph" w:styleId="BalloonText">
    <w:name w:val="Balloon Text"/>
    <w:basedOn w:val="Normal"/>
    <w:link w:val="BalloonTextChar"/>
    <w:uiPriority w:val="99"/>
    <w:semiHidden/>
    <w:unhideWhenUsed/>
    <w:rsid w:val="00AE0D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3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0B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anja.dular@gov.si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nvalidska-kartica.si" TargetMode="External"/><Relationship Id="rId9" Type="http://schemas.openxmlformats.org/officeDocument/2006/relationships/hyperlink" Target="mailto:goran.kustura@nsios.si" TargetMode="External"/><Relationship Id="rId10" Type="http://schemas.openxmlformats.org/officeDocument/2006/relationships/hyperlink" Target="mailto:suzana.tajnik@gov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805</Words>
  <Characters>4303</Characters>
  <Application>Microsoft Macintosh Word</Application>
  <DocSecurity>0</DocSecurity>
  <Lines>110</Lines>
  <Paragraphs>50</Paragraphs>
  <ScaleCrop>false</ScaleCrop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Paukovič</dc:creator>
  <cp:keywords/>
  <dc:description/>
  <cp:lastModifiedBy>Lara Paukovič</cp:lastModifiedBy>
  <cp:revision>5</cp:revision>
  <dcterms:created xsi:type="dcterms:W3CDTF">2017-07-25T10:18:00Z</dcterms:created>
  <dcterms:modified xsi:type="dcterms:W3CDTF">2017-07-25T11:23:00Z</dcterms:modified>
</cp:coreProperties>
</file>