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B07" w:rsidRDefault="006B1B07" w:rsidP="00465C0E">
      <w:pPr>
        <w:pStyle w:val="Naslov1"/>
      </w:pPr>
      <w:r>
        <w:t xml:space="preserve">OBČINA TRZIN </w:t>
      </w:r>
    </w:p>
    <w:p w:rsidR="006B1B07" w:rsidRPr="00EF2B55" w:rsidRDefault="006B1B07" w:rsidP="00465C0E">
      <w:pPr>
        <w:rPr>
          <w:b/>
          <w:sz w:val="22"/>
          <w:szCs w:val="22"/>
        </w:rPr>
      </w:pPr>
      <w:r w:rsidRPr="00EF2B55">
        <w:rPr>
          <w:b/>
          <w:sz w:val="22"/>
          <w:szCs w:val="22"/>
        </w:rPr>
        <w:t xml:space="preserve">Župan Tone Peršak </w:t>
      </w:r>
    </w:p>
    <w:p w:rsidR="006B1B07" w:rsidRPr="00EF2B55" w:rsidRDefault="006B1B07" w:rsidP="00465C0E">
      <w:pPr>
        <w:rPr>
          <w:b/>
          <w:sz w:val="22"/>
          <w:szCs w:val="22"/>
        </w:rPr>
      </w:pPr>
    </w:p>
    <w:p w:rsidR="006B1B07" w:rsidRPr="00EF2B55" w:rsidRDefault="006B1B07" w:rsidP="00465C0E">
      <w:pPr>
        <w:rPr>
          <w:sz w:val="22"/>
          <w:szCs w:val="22"/>
        </w:rPr>
      </w:pPr>
      <w:r w:rsidRPr="00EF2B55">
        <w:rPr>
          <w:sz w:val="22"/>
          <w:szCs w:val="22"/>
        </w:rPr>
        <w:t>Številka: 15-1/12</w:t>
      </w:r>
    </w:p>
    <w:p w:rsidR="006B1B07" w:rsidRPr="00EF2B55" w:rsidRDefault="006B1B07" w:rsidP="00465C0E">
      <w:pPr>
        <w:rPr>
          <w:sz w:val="22"/>
          <w:szCs w:val="22"/>
        </w:rPr>
      </w:pPr>
      <w:r w:rsidRPr="00EF2B55">
        <w:rPr>
          <w:sz w:val="22"/>
          <w:szCs w:val="22"/>
        </w:rPr>
        <w:t>Datum: 05.04.2012</w:t>
      </w:r>
    </w:p>
    <w:p w:rsidR="006B1B07" w:rsidRDefault="006B1B07" w:rsidP="00465C0E"/>
    <w:p w:rsidR="006B1B07" w:rsidRDefault="006B1B07" w:rsidP="00465C0E"/>
    <w:p w:rsidR="006B1B07" w:rsidRDefault="006B1B07" w:rsidP="00465C0E">
      <w:pPr>
        <w:pStyle w:val="Naslov2"/>
        <w:jc w:val="left"/>
        <w:rPr>
          <w:i w:val="0"/>
          <w:sz w:val="28"/>
        </w:rPr>
      </w:pPr>
      <w:r>
        <w:rPr>
          <w:i w:val="0"/>
          <w:sz w:val="28"/>
        </w:rPr>
        <w:t>1. Predlog Sklepa o soglasju občinskega sveta s predlogom župana o priznanju dodatnih del družbi Jelovica hiše d.o.o. v zvezi z izvedbo GOI del pri izgradnji novega vrtca v Trzinu</w:t>
      </w:r>
    </w:p>
    <w:p w:rsidR="006B1B07" w:rsidRDefault="006B1B07" w:rsidP="00465C0E">
      <w:r>
        <w:t xml:space="preserve"> </w:t>
      </w:r>
    </w:p>
    <w:p w:rsidR="006B1B07" w:rsidRDefault="006B1B07" w:rsidP="00465C0E">
      <w:pPr>
        <w:rPr>
          <w:sz w:val="22"/>
        </w:rPr>
      </w:pPr>
      <w:r>
        <w:rPr>
          <w:b/>
          <w:sz w:val="24"/>
          <w:szCs w:val="24"/>
        </w:rPr>
        <w:t>Namen:</w:t>
      </w:r>
      <w:r>
        <w:rPr>
          <w:sz w:val="22"/>
        </w:rPr>
        <w:t xml:space="preserve"> Sprejem sklepa in sklenitev Aneksa št. 5 k pogodbi št. 190/2011, sklenjeni med Občino Trzin in družbo Jelovica hiše d.o.o. in uspešen zaključek projekta. </w:t>
      </w:r>
    </w:p>
    <w:p w:rsidR="006B1B07" w:rsidRDefault="006B1B07" w:rsidP="00465C0E">
      <w:pPr>
        <w:rPr>
          <w:sz w:val="22"/>
        </w:rPr>
      </w:pPr>
    </w:p>
    <w:p w:rsidR="006B1B07" w:rsidRDefault="006B1B07" w:rsidP="00465C0E">
      <w:pPr>
        <w:pStyle w:val="Telobesedila"/>
        <w:rPr>
          <w:b w:val="0"/>
          <w:sz w:val="22"/>
          <w:szCs w:val="22"/>
        </w:rPr>
      </w:pPr>
      <w:r>
        <w:rPr>
          <w:szCs w:val="24"/>
        </w:rPr>
        <w:t xml:space="preserve">Pravna podlaga: </w:t>
      </w:r>
      <w:r>
        <w:rPr>
          <w:b w:val="0"/>
          <w:sz w:val="22"/>
          <w:szCs w:val="22"/>
        </w:rPr>
        <w:t xml:space="preserve">Zakon o lokalni samoupravi (Ur.l. RS, št. 94/2007-UPB 2, 27/2008 </w:t>
      </w:r>
      <w:proofErr w:type="spellStart"/>
      <w:r>
        <w:rPr>
          <w:b w:val="0"/>
          <w:sz w:val="22"/>
          <w:szCs w:val="22"/>
        </w:rPr>
        <w:t>Odl</w:t>
      </w:r>
      <w:proofErr w:type="spellEnd"/>
      <w:r>
        <w:rPr>
          <w:b w:val="0"/>
          <w:sz w:val="22"/>
          <w:szCs w:val="22"/>
        </w:rPr>
        <w:t xml:space="preserve">. US: Up-2925/07-15, U-I-21/07-18, 76/2008, 79/2009 in 51/2010), 29. čl. Zakona o javnem naročanju (Ur.L. RS št. 128/06, 16/08, 19/10 in 18/11), 18.čl. Statuta Občine Trzin (Ur.v. O.T. št. 2/99, 4/2000, 5/03, 2/06 in 8/06) in 33. čl. Poslovnika o delu občinskega sveta Občine Trzin (Ur.v. O.T.   št. 3/99, 10/2000 in 5/2004) </w:t>
      </w:r>
    </w:p>
    <w:p w:rsidR="006B1B07" w:rsidRDefault="006B1B07" w:rsidP="00465C0E">
      <w:r>
        <w:t xml:space="preserve">                                                                                                                                                                                                                                                                                           </w:t>
      </w:r>
    </w:p>
    <w:p w:rsidR="006B1B07" w:rsidRDefault="006B1B07" w:rsidP="00465C0E"/>
    <w:p w:rsidR="006B1B07" w:rsidRDefault="006B1B07" w:rsidP="00465C0E">
      <w:pPr>
        <w:rPr>
          <w:sz w:val="22"/>
        </w:rPr>
      </w:pPr>
      <w:r>
        <w:rPr>
          <w:b/>
          <w:sz w:val="24"/>
          <w:szCs w:val="24"/>
        </w:rPr>
        <w:t>Predlagatelj in poročevalec na seji:</w:t>
      </w:r>
      <w:r>
        <w:rPr>
          <w:sz w:val="22"/>
        </w:rPr>
        <w:t xml:space="preserve"> Župan Tone Peršak. </w:t>
      </w:r>
    </w:p>
    <w:p w:rsidR="006B1B07" w:rsidRDefault="006B1B07" w:rsidP="00465C0E">
      <w:pPr>
        <w:rPr>
          <w:sz w:val="22"/>
        </w:rPr>
      </w:pPr>
    </w:p>
    <w:p w:rsidR="006B1B07" w:rsidRDefault="006B1B07" w:rsidP="00745029">
      <w:pPr>
        <w:rPr>
          <w:sz w:val="24"/>
          <w:szCs w:val="24"/>
        </w:rPr>
      </w:pPr>
      <w:r>
        <w:rPr>
          <w:b/>
          <w:sz w:val="24"/>
          <w:szCs w:val="24"/>
        </w:rPr>
        <w:t xml:space="preserve">Obrazložitev predloga: </w:t>
      </w:r>
      <w:r>
        <w:rPr>
          <w:sz w:val="24"/>
          <w:szCs w:val="24"/>
        </w:rPr>
        <w:t xml:space="preserve">Občinski svet je bil o poteku del in o zapletih v zvezi z gradnjo novega vrtca Žabica v Trzinu (v Mlakah) tekoče obveščan s poročili, ki jih je župan dolžan predložiti občinskemu svetu kot polletno poročilo o izvrševanju proračuna občine v tekočem letu, s poročili ob sprejemanju zaključnih računov proračunov v zadnjih letih, z odgovori na svetniška vprašanja na rednih sejah občinskega sveta, s prispevki v občinskem glasilu Odsev in nazadnje ter najbolj temeljito na 1. izredni seji občinskega sveta 29. februarja 2012. </w:t>
      </w:r>
    </w:p>
    <w:p w:rsidR="006B1B07" w:rsidRDefault="006B1B07" w:rsidP="00745029">
      <w:pPr>
        <w:rPr>
          <w:sz w:val="24"/>
          <w:szCs w:val="24"/>
        </w:rPr>
      </w:pPr>
    </w:p>
    <w:p w:rsidR="006B1B07" w:rsidRDefault="006B1B07" w:rsidP="00745029">
      <w:pPr>
        <w:rPr>
          <w:sz w:val="24"/>
          <w:szCs w:val="24"/>
        </w:rPr>
      </w:pPr>
      <w:r>
        <w:rPr>
          <w:sz w:val="24"/>
          <w:szCs w:val="24"/>
        </w:rPr>
        <w:t xml:space="preserve">Na izredni seji je bilo občinskim svetnikom podrobno predstavljeno gradivo v zvezi z javnim naročilom del za projektiranje in izgradnjo novega vrtca v Trzinu, pojasnjeni pa so bili tudi razlogi za spor z glavnim izvajalcem del, družbo Jelovica hiše d.o.o., katerega bistvo je mogoče povzeti v oceni, da je družba Jelovica hiše d.o.o. po prekinitvi pogodbe med Občino Trzin in družbe SGP Tehnik d.d. iz Škofje Loke na podlagi izvedenega postopka neposredne oddaje del s pogajanji podpisala z Občino Trzin pogodbo o projektiranju (brez izdelave PGD projektne dokumentacije in pridobitve gradbenega dovoljenja, kar je zagotovil že prvotno izbrani izvajalec) in izvedbi vseh gradbeno obrtniških del, potrebnih za izgradnjo in opremo novega vrtca, vključno z rušenjem starega vrtca na isti lokaciji (razen izkopov za večji del objekta v velikosti osem oddelkov in izgradnje temeljev v obsegu vsaj dveh tretjin, kar je ravno tako izvedel že prvotno izbrani izvajalec), da je potem ocenila, da je pogodbena cena prenizka za kakovostno izvedbo del, zahtevala spremembo pogodbe, ki je bila sklenjena po sistemu »funkcionalni ključ v roke« in zvišanje osnovne pogodbene cene. Zahteva je družbe Jelovica hiše d.o.o. je nesprejemljiva ne le zato, ker je pogodba, kot rečeno, sklenjena po sistemu »funkcionalni ključ v roke«, temveč tudi ali celo še bolj zato, ker je Občina Trzin glede na dejstvo, da je bila PGD projektna dokumentacija izdelana ob predpostavki, da bo družba Jelovica hiše d.o.o. kot predvideni glavni podizvajalec prvotno izbranega izvajalca izdelala objekt novega vrtca kot montažni objekt, v celoti prilagojena tehnologiji družbe Jelovica hiše d.o.o., izbrala za nadaljevanje del kot glavnega izvajalca po prekinitvi pogodbe z družbo SGP Tehnik d.d. družbo Jelovica hiše d.o.o. v skladu z Zakonom o javnem naročanju (29. člen, 1. odstavek, </w:t>
      </w:r>
      <w:smartTag w:uri="urn:schemas-microsoft-com:office:smarttags" w:element="metricconverter">
        <w:smartTagPr>
          <w:attr w:name="ProductID" w:val="2. in"/>
        </w:smartTagPr>
        <w:r>
          <w:rPr>
            <w:sz w:val="24"/>
            <w:szCs w:val="24"/>
          </w:rPr>
          <w:t>2. in</w:t>
        </w:r>
      </w:smartTag>
      <w:r>
        <w:rPr>
          <w:sz w:val="24"/>
          <w:szCs w:val="24"/>
        </w:rPr>
        <w:t xml:space="preserve"> 3. točka) po postopku s pogajanji brez predhodne objave, in da bi </w:t>
      </w:r>
      <w:r>
        <w:rPr>
          <w:sz w:val="24"/>
          <w:szCs w:val="24"/>
        </w:rPr>
        <w:lastRenderedPageBreak/>
        <w:t xml:space="preserve">naknadna sprememba pogodbe, kolikor sprememba zadeva osnovno pogodbeno ceno, lahko spodbudila domneve, da sta partnerja z dogovorom za tak postopek naklepno izločila možno konkurenco in predvidela kasnejše zvišanje cene, kar bi bilo mogoče razlagati tudi kot dejanje </w:t>
      </w:r>
      <w:proofErr w:type="spellStart"/>
      <w:r>
        <w:rPr>
          <w:sz w:val="24"/>
          <w:szCs w:val="24"/>
        </w:rPr>
        <w:t>koruptivnega</w:t>
      </w:r>
      <w:proofErr w:type="spellEnd"/>
      <w:r>
        <w:rPr>
          <w:sz w:val="24"/>
          <w:szCs w:val="24"/>
        </w:rPr>
        <w:t xml:space="preserve"> značaja. </w:t>
      </w:r>
    </w:p>
    <w:p w:rsidR="006B1B07" w:rsidRDefault="006B1B07" w:rsidP="00745029">
      <w:pPr>
        <w:rPr>
          <w:sz w:val="24"/>
          <w:szCs w:val="24"/>
        </w:rPr>
      </w:pPr>
    </w:p>
    <w:p w:rsidR="006B1B07" w:rsidRDefault="006B1B07" w:rsidP="00745029">
      <w:pPr>
        <w:rPr>
          <w:sz w:val="24"/>
          <w:szCs w:val="24"/>
        </w:rPr>
      </w:pPr>
      <w:r>
        <w:rPr>
          <w:sz w:val="24"/>
          <w:szCs w:val="24"/>
        </w:rPr>
        <w:t xml:space="preserve">Zakon pa v povezavi z drugimi zakoni (Obligacijski zakonik, Zakon o graditvi objektov) dopušča in v upravičenih primerih omogoča priznanje dodatnih del, nujnih za funkcioniranje objekta, ki ob sklenitvi pogodbe niso bila predvidena oziroma niso zajeta v pogodbi, in ki niso bila načrtovana v tedaj znani projektni dokumentaciji. To pomeni, da je mogoče izvajalcu naložiti in priznati dodatna dela, ki v našem primeru niso bila predvidena s projektno nalogo in ne s PGD projektno dokumentacijo, in ki jih tudi ni bilo mogoče predvideti na podlagi Pravilnika o normativih in minimalnih tehničnih pogojih za prostor in opremo vrtca. Pogoj je, kot rečeno, ocena, da gre za dela, ki so nujna za funkcioniranje objekta, pri čemer je ta pogoj po našem prepričanju mogoče razumeti tako, da omogoča tudi odločitve, ki zadevajo tudi kakovost in varnost bivanja v objektu. </w:t>
      </w:r>
    </w:p>
    <w:p w:rsidR="006B1B07" w:rsidRDefault="006B1B07" w:rsidP="00745029">
      <w:pPr>
        <w:rPr>
          <w:sz w:val="24"/>
          <w:szCs w:val="24"/>
        </w:rPr>
      </w:pPr>
    </w:p>
    <w:p w:rsidR="006B1B07" w:rsidRDefault="006B1B07" w:rsidP="00745029">
      <w:pPr>
        <w:rPr>
          <w:sz w:val="24"/>
          <w:szCs w:val="24"/>
        </w:rPr>
      </w:pPr>
      <w:r>
        <w:rPr>
          <w:sz w:val="24"/>
          <w:szCs w:val="24"/>
        </w:rPr>
        <w:t xml:space="preserve">V skladu z navedenim je Občina Trzin s podpisom Aneksa št. 3 k osnovni pogodbi izvajalcu, že priznala določena dodatna dela v vrednosti 62.500 € brez DDV, o čemer je bil občinski svet podrobno obveščen na izredni seji. V nadaljevanju, torej v času od podpisa Aneksa št. 3 do datuma že izvedenega tehničnega pregleda novega objekta, kar v skladu s pogodbo pomeni začetek zaključevanja </w:t>
      </w:r>
      <w:smartTag w:uri="urn:schemas-microsoft-com:office:smarttags" w:element="metricconverter">
        <w:smartTagPr>
          <w:attr w:name="ProductID" w:val="1. in"/>
        </w:smartTagPr>
        <w:r>
          <w:rPr>
            <w:sz w:val="24"/>
            <w:szCs w:val="24"/>
          </w:rPr>
          <w:t>1. in</w:t>
        </w:r>
      </w:smartTag>
      <w:r>
        <w:rPr>
          <w:sz w:val="24"/>
          <w:szCs w:val="24"/>
        </w:rPr>
        <w:t xml:space="preserve"> 2. faze pogodbenih del (4.4.2012), je prišlo do eskalacije zahtev družbe Jelovica hiše d.o.o. po spremembi osnovne pogodbene cene in hkrati do zahtev po priznanju dodatnih del, ki so bila vsaj deloma tudi zajeta s predlogi predračunov in zahtevami po spremembi osnovne pogodbene cene. Te zahteve smo v skladu z napovedmi na izredni seji občinskega sveta skrbno proučili in v skladu s tem predlagamo, da občinski svet pooblasti župana, da lahko sklene ustrezni aneks k osnovni pogodbi, s katerim bo Občina Trzin družbi Jelovica hiše d.o.o. oziroma njenim podizvajalcem priznala v nadaljevanju navedena dodatna dela kot potrebna in upravičena in se zavezala, da jih bo plačala skladno z določbami osnovne pogodbe. To pomeni, da se trenutna pogodbena cena, ki vključuje osnovno pogodbeno ceno in z aneksom št. 3 priznana dodatna dela, v višini 1,753.500 € brez DDV zviša za predlagani znesek, in da glede načina obračunavanja in izplačil še nadalje veljajo pogodbene določbe, usklajene z osnovno pogodbo in Aneksom št. 3. Hkrati sprejem tega sklepa pomeni, da župan s soglasjem občinskega sveta zviša znesek v Načrtu razvojnih programov v skladu s tem sklepom, in da bo isto zvišanje zneska predlagal občinskemu svetu v potrditev in sprejem tudi s predlogom Rebalansa Proračuna Občine Trzin, predvidoma junija t.l. Menimo, da bi s takšnim sklepom in predlogom družbi Jelovica hiše d.o.o. po eni strani pokazali, da vztrajamo pri osnovni pogodbi in dogovorjeni ceni za dela, ki izhajajo iz te pogodbe, in da smo hkrati pripravljeni plačati vsa naknadno dogovorjena dodatna dela in tako sprejeti tiste zahteve družbe Jelovica hiše d.o.o., ki so nesporno upravičene. </w:t>
      </w:r>
    </w:p>
    <w:p w:rsidR="006B1B07" w:rsidRDefault="006B1B07" w:rsidP="00745029">
      <w:pPr>
        <w:rPr>
          <w:sz w:val="24"/>
          <w:szCs w:val="24"/>
        </w:rPr>
      </w:pPr>
    </w:p>
    <w:p w:rsidR="006B1B07" w:rsidRDefault="006B1B07" w:rsidP="00745029">
      <w:pPr>
        <w:rPr>
          <w:sz w:val="24"/>
          <w:szCs w:val="24"/>
        </w:rPr>
      </w:pPr>
      <w:r>
        <w:rPr>
          <w:sz w:val="24"/>
          <w:szCs w:val="24"/>
        </w:rPr>
        <w:t xml:space="preserve">V skladu s povedanim predlagamo priznanje naslednjih dodatnih del v vrednosti brez DDV:  </w:t>
      </w:r>
    </w:p>
    <w:tbl>
      <w:tblPr>
        <w:tblStyle w:val="Tabela-mrea"/>
        <w:tblW w:w="0" w:type="auto"/>
        <w:tblLook w:val="01E0"/>
      </w:tblPr>
      <w:tblGrid>
        <w:gridCol w:w="3070"/>
        <w:gridCol w:w="1538"/>
        <w:gridCol w:w="4604"/>
      </w:tblGrid>
      <w:tr w:rsidR="006B1B07" w:rsidTr="006741EA">
        <w:tc>
          <w:tcPr>
            <w:tcW w:w="3070" w:type="dxa"/>
          </w:tcPr>
          <w:p w:rsidR="006B1B07" w:rsidRDefault="006B1B07" w:rsidP="00745029">
            <w:pPr>
              <w:rPr>
                <w:sz w:val="24"/>
                <w:szCs w:val="24"/>
              </w:rPr>
            </w:pPr>
            <w:r>
              <w:rPr>
                <w:sz w:val="24"/>
                <w:szCs w:val="24"/>
              </w:rPr>
              <w:t>Dodatno delo</w:t>
            </w:r>
          </w:p>
        </w:tc>
        <w:tc>
          <w:tcPr>
            <w:tcW w:w="1538" w:type="dxa"/>
          </w:tcPr>
          <w:p w:rsidR="006B1B07" w:rsidRPr="006741EA" w:rsidRDefault="006B1B07" w:rsidP="00745029">
            <w:pPr>
              <w:rPr>
                <w:sz w:val="22"/>
                <w:szCs w:val="22"/>
              </w:rPr>
            </w:pPr>
            <w:r w:rsidRPr="006741EA">
              <w:rPr>
                <w:sz w:val="22"/>
                <w:szCs w:val="22"/>
              </w:rPr>
              <w:t xml:space="preserve">Vrednost </w:t>
            </w:r>
          </w:p>
        </w:tc>
        <w:tc>
          <w:tcPr>
            <w:tcW w:w="4604" w:type="dxa"/>
          </w:tcPr>
          <w:p w:rsidR="006B1B07" w:rsidRDefault="006B1B07" w:rsidP="00745029">
            <w:pPr>
              <w:rPr>
                <w:sz w:val="24"/>
                <w:szCs w:val="24"/>
              </w:rPr>
            </w:pPr>
            <w:r>
              <w:rPr>
                <w:sz w:val="24"/>
                <w:szCs w:val="24"/>
              </w:rPr>
              <w:t>Utemeljitev</w:t>
            </w:r>
          </w:p>
        </w:tc>
      </w:tr>
      <w:tr w:rsidR="006B1B07" w:rsidRPr="00C8172C" w:rsidTr="006741EA">
        <w:tc>
          <w:tcPr>
            <w:tcW w:w="3070" w:type="dxa"/>
          </w:tcPr>
          <w:p w:rsidR="006B1B07" w:rsidRPr="00C8172C" w:rsidRDefault="006B1B07" w:rsidP="00745029">
            <w:pPr>
              <w:rPr>
                <w:sz w:val="22"/>
                <w:szCs w:val="22"/>
              </w:rPr>
            </w:pPr>
            <w:r w:rsidRPr="00C8172C">
              <w:rPr>
                <w:sz w:val="22"/>
                <w:szCs w:val="22"/>
              </w:rPr>
              <w:t>Izdelava odprtin v spuščenem stropu za luči</w:t>
            </w:r>
          </w:p>
        </w:tc>
        <w:tc>
          <w:tcPr>
            <w:tcW w:w="1538" w:type="dxa"/>
          </w:tcPr>
          <w:p w:rsidR="006B1B07" w:rsidRPr="00C8172C" w:rsidRDefault="006B1B07" w:rsidP="006741EA">
            <w:pPr>
              <w:jc w:val="right"/>
              <w:rPr>
                <w:sz w:val="22"/>
                <w:szCs w:val="22"/>
              </w:rPr>
            </w:pPr>
            <w:r w:rsidRPr="00C8172C">
              <w:rPr>
                <w:sz w:val="22"/>
                <w:szCs w:val="22"/>
              </w:rPr>
              <w:t>800,00</w:t>
            </w:r>
          </w:p>
        </w:tc>
        <w:tc>
          <w:tcPr>
            <w:tcW w:w="4604" w:type="dxa"/>
          </w:tcPr>
          <w:p w:rsidR="006B1B07" w:rsidRPr="00C8172C" w:rsidRDefault="006B1B07" w:rsidP="00EF2B55">
            <w:pPr>
              <w:rPr>
                <w:sz w:val="22"/>
                <w:szCs w:val="22"/>
              </w:rPr>
            </w:pPr>
            <w:r w:rsidRPr="00C8172C">
              <w:rPr>
                <w:sz w:val="22"/>
                <w:szCs w:val="22"/>
              </w:rPr>
              <w:t>Prvotno predvidene luči pod stropom. Iz več razlogov (lažje čiš</w:t>
            </w:r>
            <w:r w:rsidR="00EF2B55">
              <w:rPr>
                <w:sz w:val="22"/>
                <w:szCs w:val="22"/>
              </w:rPr>
              <w:t xml:space="preserve">čenje, funkcionalnost, </w:t>
            </w:r>
            <w:proofErr w:type="spellStart"/>
            <w:r w:rsidR="00EF2B55">
              <w:rPr>
                <w:sz w:val="22"/>
                <w:szCs w:val="22"/>
              </w:rPr>
              <w:t>izgled</w:t>
            </w:r>
            <w:proofErr w:type="spellEnd"/>
            <w:r w:rsidR="00EF2B55">
              <w:rPr>
                <w:sz w:val="22"/>
                <w:szCs w:val="22"/>
              </w:rPr>
              <w:t xml:space="preserve">, </w:t>
            </w:r>
            <w:r w:rsidRPr="00C8172C">
              <w:rPr>
                <w:sz w:val="22"/>
                <w:szCs w:val="22"/>
              </w:rPr>
              <w:t xml:space="preserve">varnost) </w:t>
            </w:r>
            <w:r w:rsidR="00EF2B55">
              <w:rPr>
                <w:sz w:val="22"/>
                <w:szCs w:val="22"/>
              </w:rPr>
              <w:t>smo se odločili</w:t>
            </w:r>
            <w:r w:rsidRPr="00C8172C">
              <w:rPr>
                <w:sz w:val="22"/>
                <w:szCs w:val="22"/>
              </w:rPr>
              <w:t xml:space="preserve">, da luči vgradimo v strop; zato </w:t>
            </w:r>
            <w:r w:rsidR="00EF2B55">
              <w:rPr>
                <w:sz w:val="22"/>
                <w:szCs w:val="22"/>
              </w:rPr>
              <w:t xml:space="preserve">je </w:t>
            </w:r>
            <w:r w:rsidRPr="00C8172C">
              <w:rPr>
                <w:sz w:val="22"/>
                <w:szCs w:val="22"/>
              </w:rPr>
              <w:t xml:space="preserve">potrebno dodatno delo. </w:t>
            </w:r>
          </w:p>
        </w:tc>
      </w:tr>
      <w:tr w:rsidR="006B1B07" w:rsidRPr="00C8172C" w:rsidTr="006741EA">
        <w:tc>
          <w:tcPr>
            <w:tcW w:w="3070" w:type="dxa"/>
          </w:tcPr>
          <w:p w:rsidR="006B1B07" w:rsidRPr="00C8172C" w:rsidRDefault="006B1B07" w:rsidP="00745029">
            <w:pPr>
              <w:rPr>
                <w:sz w:val="22"/>
                <w:szCs w:val="22"/>
              </w:rPr>
            </w:pPr>
            <w:r>
              <w:rPr>
                <w:sz w:val="22"/>
                <w:szCs w:val="22"/>
              </w:rPr>
              <w:t>Dodatna obdelava ploščadi nad zakloniščem pred asfaltiranjem (hidroizolacija itd.).</w:t>
            </w:r>
          </w:p>
        </w:tc>
        <w:tc>
          <w:tcPr>
            <w:tcW w:w="1538" w:type="dxa"/>
          </w:tcPr>
          <w:p w:rsidR="006B1B07" w:rsidRPr="00C8172C" w:rsidRDefault="006B1B07" w:rsidP="006741EA">
            <w:pPr>
              <w:jc w:val="right"/>
              <w:rPr>
                <w:sz w:val="22"/>
                <w:szCs w:val="22"/>
              </w:rPr>
            </w:pPr>
            <w:r>
              <w:rPr>
                <w:sz w:val="22"/>
                <w:szCs w:val="22"/>
              </w:rPr>
              <w:t>5.000,00</w:t>
            </w:r>
          </w:p>
        </w:tc>
        <w:tc>
          <w:tcPr>
            <w:tcW w:w="4604" w:type="dxa"/>
          </w:tcPr>
          <w:p w:rsidR="006B1B07" w:rsidRPr="00C8172C" w:rsidRDefault="006B1B07" w:rsidP="00745029">
            <w:pPr>
              <w:rPr>
                <w:sz w:val="22"/>
                <w:szCs w:val="22"/>
              </w:rPr>
            </w:pPr>
            <w:r>
              <w:rPr>
                <w:sz w:val="22"/>
                <w:szCs w:val="22"/>
              </w:rPr>
              <w:t>Ploščad bo po rušenju starega vrtca potrebno sanirati in izolirati in šele nato asfaltirati in tako zavarovati zaklonišče pod njo.</w:t>
            </w:r>
          </w:p>
        </w:tc>
      </w:tr>
      <w:tr w:rsidR="006B1B07" w:rsidRPr="00C8172C" w:rsidTr="006741EA">
        <w:tc>
          <w:tcPr>
            <w:tcW w:w="3070" w:type="dxa"/>
          </w:tcPr>
          <w:p w:rsidR="006B1B07" w:rsidRPr="00C8172C" w:rsidRDefault="006B1B07" w:rsidP="00745029">
            <w:pPr>
              <w:rPr>
                <w:sz w:val="22"/>
                <w:szCs w:val="22"/>
              </w:rPr>
            </w:pPr>
            <w:r>
              <w:rPr>
                <w:sz w:val="22"/>
                <w:szCs w:val="22"/>
              </w:rPr>
              <w:t xml:space="preserve">Odvoz ruševin in rušenje </w:t>
            </w:r>
            <w:proofErr w:type="spellStart"/>
            <w:r>
              <w:rPr>
                <w:sz w:val="22"/>
                <w:szCs w:val="22"/>
              </w:rPr>
              <w:t>zasu</w:t>
            </w:r>
            <w:proofErr w:type="spellEnd"/>
            <w:r>
              <w:rPr>
                <w:sz w:val="22"/>
                <w:szCs w:val="22"/>
              </w:rPr>
              <w:t>= tih temeljev starega vrtca</w:t>
            </w:r>
          </w:p>
        </w:tc>
        <w:tc>
          <w:tcPr>
            <w:tcW w:w="1538" w:type="dxa"/>
          </w:tcPr>
          <w:p w:rsidR="006B1B07" w:rsidRPr="00C8172C" w:rsidRDefault="006B1B07" w:rsidP="006741EA">
            <w:pPr>
              <w:jc w:val="right"/>
              <w:rPr>
                <w:sz w:val="22"/>
                <w:szCs w:val="22"/>
              </w:rPr>
            </w:pPr>
            <w:r>
              <w:rPr>
                <w:sz w:val="22"/>
                <w:szCs w:val="22"/>
              </w:rPr>
              <w:t>4.850,00</w:t>
            </w:r>
          </w:p>
        </w:tc>
        <w:tc>
          <w:tcPr>
            <w:tcW w:w="4604" w:type="dxa"/>
          </w:tcPr>
          <w:p w:rsidR="006B1B07" w:rsidRPr="00C8172C" w:rsidRDefault="006B1B07" w:rsidP="00745029">
            <w:pPr>
              <w:rPr>
                <w:sz w:val="22"/>
                <w:szCs w:val="22"/>
              </w:rPr>
            </w:pPr>
            <w:r>
              <w:rPr>
                <w:sz w:val="22"/>
                <w:szCs w:val="22"/>
              </w:rPr>
              <w:t xml:space="preserve">Tloris starega vrtca je večji od zaklonišča in po= </w:t>
            </w:r>
            <w:proofErr w:type="spellStart"/>
            <w:r>
              <w:rPr>
                <w:sz w:val="22"/>
                <w:szCs w:val="22"/>
              </w:rPr>
              <w:t>trebno</w:t>
            </w:r>
            <w:proofErr w:type="spellEnd"/>
            <w:r>
              <w:rPr>
                <w:sz w:val="22"/>
                <w:szCs w:val="22"/>
              </w:rPr>
              <w:t xml:space="preserve"> je sanirati celotno površino ter odpeljati </w:t>
            </w:r>
            <w:r>
              <w:rPr>
                <w:sz w:val="22"/>
                <w:szCs w:val="22"/>
              </w:rPr>
              <w:lastRenderedPageBreak/>
              <w:t>gradbene odpadke na ustrezne deponije.</w:t>
            </w:r>
          </w:p>
        </w:tc>
      </w:tr>
      <w:tr w:rsidR="006B1B07" w:rsidRPr="00C8172C" w:rsidTr="006741EA">
        <w:tc>
          <w:tcPr>
            <w:tcW w:w="3070" w:type="dxa"/>
          </w:tcPr>
          <w:p w:rsidR="006B1B07" w:rsidRPr="00C8172C" w:rsidRDefault="006B1B07" w:rsidP="00745029">
            <w:pPr>
              <w:rPr>
                <w:sz w:val="22"/>
                <w:szCs w:val="22"/>
              </w:rPr>
            </w:pPr>
            <w:r>
              <w:rPr>
                <w:sz w:val="22"/>
                <w:szCs w:val="22"/>
              </w:rPr>
              <w:lastRenderedPageBreak/>
              <w:t>Dobava in vgradnja zbiralnika deževnice</w:t>
            </w:r>
          </w:p>
        </w:tc>
        <w:tc>
          <w:tcPr>
            <w:tcW w:w="1538" w:type="dxa"/>
          </w:tcPr>
          <w:p w:rsidR="006B1B07" w:rsidRPr="00C8172C" w:rsidRDefault="006B1B07" w:rsidP="006741EA">
            <w:pPr>
              <w:jc w:val="right"/>
              <w:rPr>
                <w:sz w:val="22"/>
                <w:szCs w:val="22"/>
              </w:rPr>
            </w:pPr>
            <w:r>
              <w:rPr>
                <w:sz w:val="22"/>
                <w:szCs w:val="22"/>
              </w:rPr>
              <w:t>9.980,00</w:t>
            </w:r>
          </w:p>
        </w:tc>
        <w:tc>
          <w:tcPr>
            <w:tcW w:w="4604" w:type="dxa"/>
          </w:tcPr>
          <w:p w:rsidR="006B1B07" w:rsidRPr="00C8172C" w:rsidRDefault="00184948" w:rsidP="00745029">
            <w:pPr>
              <w:rPr>
                <w:sz w:val="22"/>
                <w:szCs w:val="22"/>
              </w:rPr>
            </w:pPr>
            <w:r>
              <w:rPr>
                <w:sz w:val="22"/>
                <w:szCs w:val="22"/>
              </w:rPr>
              <w:t>Gre za zahtevo, ki izhaja iz sprejetega OPN Občine Trzin in na katero izvajalec ni računal ter jo razume kot neke vrste nadstandard</w:t>
            </w:r>
          </w:p>
        </w:tc>
      </w:tr>
      <w:tr w:rsidR="006B1B07" w:rsidRPr="00C8172C" w:rsidTr="006741EA">
        <w:tc>
          <w:tcPr>
            <w:tcW w:w="3070" w:type="dxa"/>
          </w:tcPr>
          <w:p w:rsidR="006B1B07" w:rsidRPr="00C8172C" w:rsidRDefault="006B1B07" w:rsidP="00745029">
            <w:pPr>
              <w:rPr>
                <w:sz w:val="22"/>
                <w:szCs w:val="22"/>
              </w:rPr>
            </w:pPr>
            <w:r>
              <w:rPr>
                <w:sz w:val="22"/>
                <w:szCs w:val="22"/>
              </w:rPr>
              <w:t>Dodatna meteorna kanalizacija</w:t>
            </w:r>
          </w:p>
        </w:tc>
        <w:tc>
          <w:tcPr>
            <w:tcW w:w="1538" w:type="dxa"/>
          </w:tcPr>
          <w:p w:rsidR="006B1B07" w:rsidRPr="00C8172C" w:rsidRDefault="006B1B07" w:rsidP="006741EA">
            <w:pPr>
              <w:jc w:val="right"/>
              <w:rPr>
                <w:sz w:val="22"/>
                <w:szCs w:val="22"/>
              </w:rPr>
            </w:pPr>
            <w:r>
              <w:rPr>
                <w:sz w:val="22"/>
                <w:szCs w:val="22"/>
              </w:rPr>
              <w:t>1.092,00</w:t>
            </w:r>
          </w:p>
        </w:tc>
        <w:tc>
          <w:tcPr>
            <w:tcW w:w="4604" w:type="dxa"/>
          </w:tcPr>
          <w:p w:rsidR="006B1B07" w:rsidRPr="00C8172C" w:rsidRDefault="00184948" w:rsidP="00745029">
            <w:pPr>
              <w:rPr>
                <w:sz w:val="22"/>
                <w:szCs w:val="22"/>
              </w:rPr>
            </w:pPr>
            <w:r>
              <w:rPr>
                <w:sz w:val="22"/>
                <w:szCs w:val="22"/>
              </w:rPr>
              <w:t>Kanalizacijo je bilo potrebno dodatno izpeljati zaradi dovodov v zbiralnik deževnice</w:t>
            </w:r>
          </w:p>
        </w:tc>
      </w:tr>
      <w:tr w:rsidR="006B1B07" w:rsidRPr="00C8172C" w:rsidTr="006741EA">
        <w:tc>
          <w:tcPr>
            <w:tcW w:w="3070" w:type="dxa"/>
          </w:tcPr>
          <w:p w:rsidR="006B1B07" w:rsidRPr="00C8172C" w:rsidRDefault="006B1B07" w:rsidP="00745029">
            <w:pPr>
              <w:rPr>
                <w:sz w:val="22"/>
                <w:szCs w:val="22"/>
              </w:rPr>
            </w:pPr>
            <w:r>
              <w:rPr>
                <w:sz w:val="22"/>
                <w:szCs w:val="22"/>
              </w:rPr>
              <w:t>Ogrevanje prostorov – sušenje estrihov</w:t>
            </w:r>
            <w:r w:rsidR="00184948">
              <w:rPr>
                <w:sz w:val="22"/>
                <w:szCs w:val="22"/>
              </w:rPr>
              <w:t xml:space="preserve"> in fasade</w:t>
            </w:r>
          </w:p>
        </w:tc>
        <w:tc>
          <w:tcPr>
            <w:tcW w:w="1538" w:type="dxa"/>
          </w:tcPr>
          <w:p w:rsidR="006B1B07" w:rsidRPr="00C8172C" w:rsidRDefault="006B1B07" w:rsidP="006741EA">
            <w:pPr>
              <w:jc w:val="right"/>
              <w:rPr>
                <w:sz w:val="22"/>
                <w:szCs w:val="22"/>
              </w:rPr>
            </w:pPr>
            <w:r>
              <w:rPr>
                <w:sz w:val="22"/>
                <w:szCs w:val="22"/>
              </w:rPr>
              <w:t>12,000,00</w:t>
            </w:r>
          </w:p>
        </w:tc>
        <w:tc>
          <w:tcPr>
            <w:tcW w:w="4604" w:type="dxa"/>
          </w:tcPr>
          <w:p w:rsidR="006B1B07" w:rsidRPr="00C8172C" w:rsidRDefault="00184948" w:rsidP="00745029">
            <w:pPr>
              <w:rPr>
                <w:sz w:val="22"/>
                <w:szCs w:val="22"/>
              </w:rPr>
            </w:pPr>
            <w:r>
              <w:rPr>
                <w:sz w:val="22"/>
                <w:szCs w:val="22"/>
              </w:rPr>
              <w:t>Ker je bila zima prav po izvedbi estrihov in tudi fasade relativno mrzla in hkrati vlažna je bilo potrebno v obeh primerih dodatno sušenje</w:t>
            </w:r>
          </w:p>
        </w:tc>
      </w:tr>
      <w:tr w:rsidR="006B1B07" w:rsidRPr="00C8172C" w:rsidTr="00082D7A">
        <w:trPr>
          <w:trHeight w:val="275"/>
        </w:trPr>
        <w:tc>
          <w:tcPr>
            <w:tcW w:w="3070" w:type="dxa"/>
          </w:tcPr>
          <w:p w:rsidR="006B1B07" w:rsidRPr="00C8172C" w:rsidRDefault="00082D7A" w:rsidP="00745029">
            <w:pPr>
              <w:rPr>
                <w:sz w:val="22"/>
                <w:szCs w:val="22"/>
              </w:rPr>
            </w:pPr>
            <w:r>
              <w:rPr>
                <w:sz w:val="22"/>
                <w:szCs w:val="22"/>
              </w:rPr>
              <w:t xml:space="preserve">Dodatne </w:t>
            </w:r>
            <w:proofErr w:type="spellStart"/>
            <w:r>
              <w:rPr>
                <w:sz w:val="22"/>
                <w:szCs w:val="22"/>
              </w:rPr>
              <w:t>elektro</w:t>
            </w:r>
            <w:proofErr w:type="spellEnd"/>
            <w:r>
              <w:rPr>
                <w:sz w:val="22"/>
                <w:szCs w:val="22"/>
              </w:rPr>
              <w:t xml:space="preserve"> inštalacije</w:t>
            </w:r>
          </w:p>
        </w:tc>
        <w:tc>
          <w:tcPr>
            <w:tcW w:w="1538" w:type="dxa"/>
          </w:tcPr>
          <w:p w:rsidR="006B1B07" w:rsidRPr="00082D7A" w:rsidRDefault="00082D7A" w:rsidP="006741EA">
            <w:pPr>
              <w:jc w:val="right"/>
              <w:rPr>
                <w:sz w:val="22"/>
                <w:szCs w:val="22"/>
              </w:rPr>
            </w:pPr>
            <w:r w:rsidRPr="00082D7A">
              <w:rPr>
                <w:sz w:val="22"/>
                <w:szCs w:val="22"/>
              </w:rPr>
              <w:t>8.988,50</w:t>
            </w:r>
          </w:p>
        </w:tc>
        <w:tc>
          <w:tcPr>
            <w:tcW w:w="4604" w:type="dxa"/>
          </w:tcPr>
          <w:p w:rsidR="006B1B07" w:rsidRPr="00C8172C" w:rsidRDefault="00184948" w:rsidP="00745029">
            <w:pPr>
              <w:rPr>
                <w:sz w:val="22"/>
                <w:szCs w:val="22"/>
              </w:rPr>
            </w:pPr>
            <w:r>
              <w:rPr>
                <w:sz w:val="22"/>
                <w:szCs w:val="22"/>
              </w:rPr>
              <w:t>Deloma zaradi neusklajenosti projektov in deloma zaradi zahtev naročnika je bilo potrebno izvesti nekaj dodatnih inštalacij</w:t>
            </w:r>
          </w:p>
        </w:tc>
      </w:tr>
      <w:tr w:rsidR="00082D7A" w:rsidRPr="00C8172C" w:rsidTr="00082D7A">
        <w:trPr>
          <w:trHeight w:val="364"/>
        </w:trPr>
        <w:tc>
          <w:tcPr>
            <w:tcW w:w="3070" w:type="dxa"/>
          </w:tcPr>
          <w:p w:rsidR="00082D7A" w:rsidRPr="00C8172C" w:rsidRDefault="00082D7A" w:rsidP="00082D7A">
            <w:pPr>
              <w:rPr>
                <w:sz w:val="22"/>
                <w:szCs w:val="22"/>
              </w:rPr>
            </w:pPr>
            <w:r>
              <w:rPr>
                <w:sz w:val="22"/>
                <w:szCs w:val="22"/>
              </w:rPr>
              <w:t>Obsežnejša površina zunanjega igrišča</w:t>
            </w:r>
          </w:p>
        </w:tc>
        <w:tc>
          <w:tcPr>
            <w:tcW w:w="1538" w:type="dxa"/>
          </w:tcPr>
          <w:p w:rsidR="00082D7A" w:rsidRPr="00184948" w:rsidRDefault="00082D7A" w:rsidP="006741EA">
            <w:pPr>
              <w:jc w:val="right"/>
              <w:rPr>
                <w:sz w:val="22"/>
                <w:szCs w:val="22"/>
              </w:rPr>
            </w:pPr>
            <w:r w:rsidRPr="00184948">
              <w:rPr>
                <w:sz w:val="22"/>
                <w:szCs w:val="22"/>
              </w:rPr>
              <w:t>8.725</w:t>
            </w:r>
            <w:r w:rsidR="00184948" w:rsidRPr="00184948">
              <w:rPr>
                <w:sz w:val="22"/>
                <w:szCs w:val="22"/>
              </w:rPr>
              <w:t>,00</w:t>
            </w:r>
          </w:p>
        </w:tc>
        <w:tc>
          <w:tcPr>
            <w:tcW w:w="4604" w:type="dxa"/>
          </w:tcPr>
          <w:p w:rsidR="00082D7A" w:rsidRPr="00C8172C" w:rsidRDefault="00184948" w:rsidP="00745029">
            <w:pPr>
              <w:rPr>
                <w:sz w:val="22"/>
                <w:szCs w:val="22"/>
              </w:rPr>
            </w:pPr>
            <w:r>
              <w:rPr>
                <w:sz w:val="22"/>
                <w:szCs w:val="22"/>
              </w:rPr>
              <w:t xml:space="preserve">Ker ohranjamo nekaj obstoječih zunanjih igral, je potrebno v bistvu razširiti površine igrišč glede na projekt. </w:t>
            </w:r>
          </w:p>
        </w:tc>
      </w:tr>
      <w:tr w:rsidR="00082D7A" w:rsidRPr="00C8172C" w:rsidTr="00082D7A">
        <w:trPr>
          <w:trHeight w:val="440"/>
        </w:trPr>
        <w:tc>
          <w:tcPr>
            <w:tcW w:w="3070" w:type="dxa"/>
          </w:tcPr>
          <w:p w:rsidR="00082D7A" w:rsidRPr="00C8172C" w:rsidRDefault="00184948" w:rsidP="00745029">
            <w:pPr>
              <w:rPr>
                <w:sz w:val="22"/>
                <w:szCs w:val="22"/>
              </w:rPr>
            </w:pPr>
            <w:r>
              <w:rPr>
                <w:sz w:val="22"/>
                <w:szCs w:val="22"/>
              </w:rPr>
              <w:t>Seštevek</w:t>
            </w:r>
          </w:p>
        </w:tc>
        <w:tc>
          <w:tcPr>
            <w:tcW w:w="1538" w:type="dxa"/>
          </w:tcPr>
          <w:p w:rsidR="00082D7A" w:rsidRPr="00A16966" w:rsidRDefault="00184948" w:rsidP="006741EA">
            <w:pPr>
              <w:jc w:val="right"/>
              <w:rPr>
                <w:b/>
                <w:sz w:val="22"/>
                <w:szCs w:val="22"/>
              </w:rPr>
            </w:pPr>
            <w:r>
              <w:rPr>
                <w:b/>
                <w:sz w:val="22"/>
                <w:szCs w:val="22"/>
              </w:rPr>
              <w:t>51.435,50</w:t>
            </w:r>
          </w:p>
        </w:tc>
        <w:tc>
          <w:tcPr>
            <w:tcW w:w="4604" w:type="dxa"/>
          </w:tcPr>
          <w:p w:rsidR="00082D7A" w:rsidRPr="00C8172C" w:rsidRDefault="00082D7A" w:rsidP="00745029">
            <w:pPr>
              <w:rPr>
                <w:sz w:val="22"/>
                <w:szCs w:val="22"/>
              </w:rPr>
            </w:pPr>
          </w:p>
        </w:tc>
      </w:tr>
    </w:tbl>
    <w:p w:rsidR="006B1B07" w:rsidRPr="00C8172C" w:rsidRDefault="006B1B07" w:rsidP="00745029">
      <w:pPr>
        <w:rPr>
          <w:sz w:val="22"/>
          <w:szCs w:val="22"/>
        </w:rPr>
      </w:pPr>
    </w:p>
    <w:p w:rsidR="006B1B07" w:rsidRDefault="00184948" w:rsidP="00745029">
      <w:pPr>
        <w:rPr>
          <w:sz w:val="24"/>
          <w:szCs w:val="24"/>
        </w:rPr>
      </w:pPr>
      <w:r>
        <w:rPr>
          <w:sz w:val="24"/>
          <w:szCs w:val="24"/>
        </w:rPr>
        <w:t xml:space="preserve">Opomba: V času pred sejo se bo vodstvo občine še usklajevalo z družbo Jelovica hiše d.o.o., tako da so mogoče še manjše spremembe seznama dodatnih del. </w:t>
      </w:r>
    </w:p>
    <w:p w:rsidR="00082D7A" w:rsidRDefault="00082D7A" w:rsidP="00465C0E">
      <w:pPr>
        <w:rPr>
          <w:b/>
          <w:sz w:val="22"/>
        </w:rPr>
      </w:pPr>
    </w:p>
    <w:p w:rsidR="006B1B07" w:rsidRPr="00E05DB7" w:rsidRDefault="006B1B07" w:rsidP="00082D7A">
      <w:pPr>
        <w:rPr>
          <w:sz w:val="24"/>
          <w:szCs w:val="24"/>
        </w:rPr>
      </w:pPr>
      <w:r w:rsidRPr="00E05DB7">
        <w:rPr>
          <w:b/>
          <w:sz w:val="24"/>
          <w:szCs w:val="24"/>
        </w:rPr>
        <w:t xml:space="preserve">Finančne posledice: </w:t>
      </w:r>
      <w:r w:rsidR="00E05DB7" w:rsidRPr="00E05DB7">
        <w:rPr>
          <w:b/>
          <w:sz w:val="24"/>
          <w:szCs w:val="24"/>
        </w:rPr>
        <w:t xml:space="preserve"> </w:t>
      </w:r>
      <w:r w:rsidR="00E05DB7">
        <w:rPr>
          <w:b/>
          <w:sz w:val="24"/>
          <w:szCs w:val="24"/>
        </w:rPr>
        <w:t xml:space="preserve">Znesek v NRP in na proračunski postavki št. se poveča v višini kot je predlagana v predlogu Sklepa in 20 % DDV (61.722,60 €). </w:t>
      </w:r>
    </w:p>
    <w:p w:rsidR="006B1B07" w:rsidRDefault="006B1B07" w:rsidP="00465C0E"/>
    <w:p w:rsidR="006B1B07" w:rsidRDefault="00E05DB7" w:rsidP="00465C0E">
      <w:pPr>
        <w:rPr>
          <w:sz w:val="22"/>
        </w:rPr>
      </w:pPr>
      <w:r>
        <w:rPr>
          <w:sz w:val="22"/>
        </w:rPr>
        <w:t xml:space="preserve">Predlog sklepa: </w:t>
      </w:r>
      <w:r w:rsidR="006B1B07">
        <w:rPr>
          <w:sz w:val="22"/>
        </w:rPr>
        <w:t xml:space="preserve"> </w:t>
      </w:r>
    </w:p>
    <w:p w:rsidR="006B1B07" w:rsidRDefault="006B1B07" w:rsidP="00465C0E">
      <w:pPr>
        <w:rPr>
          <w:sz w:val="22"/>
        </w:rPr>
      </w:pPr>
    </w:p>
    <w:p w:rsidR="006B1B07" w:rsidRDefault="006B1B07" w:rsidP="00465C0E">
      <w:pPr>
        <w:pStyle w:val="Telobesedila"/>
        <w:rPr>
          <w:b w:val="0"/>
          <w:sz w:val="22"/>
        </w:rPr>
      </w:pPr>
      <w:r>
        <w:rPr>
          <w:b w:val="0"/>
          <w:sz w:val="22"/>
        </w:rPr>
        <w:t xml:space="preserve">Občinski svet Občine Trzin je na podlagi Zakona o lokalni samoupravi </w:t>
      </w:r>
      <w:r>
        <w:rPr>
          <w:b w:val="0"/>
          <w:sz w:val="22"/>
          <w:szCs w:val="22"/>
        </w:rPr>
        <w:t xml:space="preserve">(Ur. l. RS št. 94/2007 – UPB2, 27/2008 – </w:t>
      </w:r>
      <w:proofErr w:type="spellStart"/>
      <w:r>
        <w:rPr>
          <w:b w:val="0"/>
          <w:sz w:val="22"/>
          <w:szCs w:val="22"/>
        </w:rPr>
        <w:t>Odl</w:t>
      </w:r>
      <w:proofErr w:type="spellEnd"/>
      <w:r>
        <w:rPr>
          <w:b w:val="0"/>
          <w:sz w:val="22"/>
          <w:szCs w:val="22"/>
        </w:rPr>
        <w:t>.US: Up-2925/07-15, U-I-21./07-18, 76/2008, 79/09 in 51/2010), 18.čl. Statuta Občine Trzin (Ur.v. O.T. št. 2/99, 4/2000, 5/03, 2/06 in 8/06) in 33. čl. Poslovnika o delu občinskega sveta Občine Trzin (Ur.v. O.T.   št. 3/99, 10/2000 in 5/2004) na 1</w:t>
      </w:r>
      <w:r w:rsidR="00E05DB7">
        <w:rPr>
          <w:b w:val="0"/>
          <w:sz w:val="22"/>
          <w:szCs w:val="22"/>
        </w:rPr>
        <w:t>5</w:t>
      </w:r>
      <w:r>
        <w:rPr>
          <w:b w:val="0"/>
          <w:sz w:val="22"/>
          <w:szCs w:val="22"/>
        </w:rPr>
        <w:t>. redni seji 2</w:t>
      </w:r>
      <w:r w:rsidR="00E05DB7">
        <w:rPr>
          <w:b w:val="0"/>
          <w:sz w:val="22"/>
          <w:szCs w:val="22"/>
        </w:rPr>
        <w:t>5</w:t>
      </w:r>
      <w:r>
        <w:rPr>
          <w:b w:val="0"/>
          <w:sz w:val="22"/>
          <w:szCs w:val="22"/>
        </w:rPr>
        <w:t>.</w:t>
      </w:r>
      <w:r w:rsidR="00E05DB7">
        <w:rPr>
          <w:b w:val="0"/>
          <w:sz w:val="22"/>
          <w:szCs w:val="22"/>
        </w:rPr>
        <w:t>04</w:t>
      </w:r>
      <w:r>
        <w:rPr>
          <w:b w:val="0"/>
          <w:sz w:val="22"/>
          <w:szCs w:val="22"/>
        </w:rPr>
        <w:t xml:space="preserve">. 2012 </w:t>
      </w:r>
      <w:r>
        <w:rPr>
          <w:b w:val="0"/>
          <w:sz w:val="22"/>
        </w:rPr>
        <w:t>sprejel</w:t>
      </w:r>
    </w:p>
    <w:p w:rsidR="006B1B07" w:rsidRDefault="006B1B07" w:rsidP="00465C0E">
      <w:pPr>
        <w:pStyle w:val="Sprotnaopomba-besedilo"/>
      </w:pPr>
    </w:p>
    <w:p w:rsidR="00184948" w:rsidRDefault="006B1B07" w:rsidP="00184948">
      <w:pPr>
        <w:pStyle w:val="Naslov3"/>
        <w:jc w:val="center"/>
        <w:rPr>
          <w:sz w:val="28"/>
        </w:rPr>
      </w:pPr>
      <w:r>
        <w:rPr>
          <w:sz w:val="28"/>
        </w:rPr>
        <w:t>SKLEP</w:t>
      </w:r>
    </w:p>
    <w:p w:rsidR="00184948" w:rsidRPr="00EF2B55" w:rsidRDefault="00184948" w:rsidP="00EF2B55">
      <w:pPr>
        <w:pStyle w:val="Naslov"/>
        <w:jc w:val="both"/>
        <w:rPr>
          <w:rFonts w:ascii="Times New Roman" w:hAnsi="Times New Roman" w:cs="Times New Roman"/>
          <w:b w:val="0"/>
          <w:sz w:val="24"/>
          <w:szCs w:val="24"/>
        </w:rPr>
      </w:pPr>
      <w:r w:rsidRPr="00EF2B55">
        <w:rPr>
          <w:rFonts w:ascii="Times New Roman" w:hAnsi="Times New Roman" w:cs="Times New Roman"/>
          <w:b w:val="0"/>
          <w:sz w:val="24"/>
          <w:szCs w:val="24"/>
        </w:rPr>
        <w:t>Občinski svet Občine Trzin je na 15. redni seji obravnaval predlog župana, da na podlagi utemeljenih zahtev izvajalca del za projektiranje in izgradnjo novega vrtca v Trzinu, družbe Jelovica hiše d.o.o., Občina Trzin izvajalcu prizna dodatna dela v vrednosti 51.435,50 € brez DDV, ki so potrebna za optimalno funkcioniranje objekta in zagoto</w:t>
      </w:r>
      <w:r w:rsidR="00EF2B55" w:rsidRPr="00EF2B55">
        <w:rPr>
          <w:rFonts w:ascii="Times New Roman" w:hAnsi="Times New Roman" w:cs="Times New Roman"/>
          <w:b w:val="0"/>
          <w:sz w:val="24"/>
          <w:szCs w:val="24"/>
        </w:rPr>
        <w:t xml:space="preserve">vitev ustreznega </w:t>
      </w:r>
      <w:proofErr w:type="spellStart"/>
      <w:r w:rsidR="00EF2B55" w:rsidRPr="00EF2B55">
        <w:rPr>
          <w:rFonts w:ascii="Times New Roman" w:hAnsi="Times New Roman" w:cs="Times New Roman"/>
          <w:b w:val="0"/>
          <w:sz w:val="24"/>
          <w:szCs w:val="24"/>
        </w:rPr>
        <w:t>izgleda</w:t>
      </w:r>
      <w:proofErr w:type="spellEnd"/>
      <w:r w:rsidR="00EF2B55" w:rsidRPr="00EF2B55">
        <w:rPr>
          <w:rFonts w:ascii="Times New Roman" w:hAnsi="Times New Roman" w:cs="Times New Roman"/>
          <w:b w:val="0"/>
          <w:sz w:val="24"/>
          <w:szCs w:val="24"/>
        </w:rPr>
        <w:t xml:space="preserve"> vrtca ter okolice. </w:t>
      </w:r>
    </w:p>
    <w:p w:rsidR="00EF2B55" w:rsidRPr="00EF2B55" w:rsidRDefault="00EF2B55" w:rsidP="00EF2B55">
      <w:pPr>
        <w:pStyle w:val="Naslov4"/>
        <w:jc w:val="both"/>
        <w:rPr>
          <w:rFonts w:ascii="Times New Roman" w:hAnsi="Times New Roman" w:cs="Times New Roman"/>
          <w:b w:val="0"/>
          <w:sz w:val="24"/>
          <w:szCs w:val="24"/>
        </w:rPr>
      </w:pPr>
      <w:r w:rsidRPr="00EF2B55">
        <w:rPr>
          <w:rFonts w:ascii="Times New Roman" w:hAnsi="Times New Roman" w:cs="Times New Roman"/>
          <w:b w:val="0"/>
          <w:sz w:val="24"/>
          <w:szCs w:val="24"/>
        </w:rPr>
        <w:t xml:space="preserve">Občinski svet soglaša s predlogom župana in ustreznim zvišanjem predvidenega zneska v Načrtu razvojnih programov Občine Trzin ter uvrstitvijo te spremembe v predlog Rebalansa Proračuna Občine Trzin za leto 2012. </w:t>
      </w:r>
    </w:p>
    <w:p w:rsidR="00EF2B55" w:rsidRDefault="00EF2B55" w:rsidP="00465C0E">
      <w:pPr>
        <w:rPr>
          <w:sz w:val="22"/>
        </w:rPr>
      </w:pPr>
    </w:p>
    <w:p w:rsidR="006B1B07" w:rsidRDefault="006B1B07" w:rsidP="00465C0E">
      <w:pPr>
        <w:rPr>
          <w:sz w:val="22"/>
        </w:rPr>
      </w:pPr>
      <w:r>
        <w:rPr>
          <w:sz w:val="22"/>
        </w:rPr>
        <w:t>Št. 1</w:t>
      </w:r>
      <w:r w:rsidR="00EF2B55">
        <w:rPr>
          <w:sz w:val="22"/>
        </w:rPr>
        <w:t>5</w:t>
      </w:r>
      <w:r>
        <w:rPr>
          <w:sz w:val="22"/>
        </w:rPr>
        <w:t>-1/2012</w:t>
      </w:r>
    </w:p>
    <w:p w:rsidR="006B1B07" w:rsidRDefault="006B1B07" w:rsidP="00465C0E">
      <w:pPr>
        <w:rPr>
          <w:sz w:val="22"/>
        </w:rPr>
      </w:pPr>
      <w:r>
        <w:rPr>
          <w:sz w:val="22"/>
        </w:rPr>
        <w:t>Datum: 2</w:t>
      </w:r>
      <w:r w:rsidR="00EF2B55">
        <w:rPr>
          <w:sz w:val="22"/>
        </w:rPr>
        <w:t>5</w:t>
      </w:r>
      <w:r>
        <w:rPr>
          <w:sz w:val="22"/>
        </w:rPr>
        <w:t>. 0</w:t>
      </w:r>
      <w:r w:rsidR="00EF2B55">
        <w:rPr>
          <w:sz w:val="22"/>
        </w:rPr>
        <w:t>4</w:t>
      </w:r>
      <w:r>
        <w:rPr>
          <w:sz w:val="22"/>
        </w:rPr>
        <w:t xml:space="preserve">. 2012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Župan </w:t>
      </w:r>
    </w:p>
    <w:p w:rsidR="006B1B07" w:rsidRDefault="006B1B07" w:rsidP="00465C0E">
      <w:pPr>
        <w:pStyle w:val="Telobesedila3"/>
        <w:rPr>
          <w:b w:val="0"/>
        </w:rPr>
      </w:pPr>
      <w:r>
        <w:t xml:space="preserve">          </w:t>
      </w:r>
      <w:r>
        <w:tab/>
      </w:r>
      <w:r>
        <w:tab/>
      </w:r>
      <w:r>
        <w:tab/>
      </w:r>
      <w:r>
        <w:tab/>
      </w:r>
      <w:r>
        <w:tab/>
      </w:r>
      <w:r>
        <w:tab/>
      </w:r>
      <w:r>
        <w:tab/>
      </w:r>
      <w:r>
        <w:tab/>
      </w:r>
      <w:r>
        <w:tab/>
        <w:t xml:space="preserve">                </w:t>
      </w:r>
      <w:r>
        <w:rPr>
          <w:b w:val="0"/>
        </w:rPr>
        <w:t>Anton Peršak l.r.</w:t>
      </w:r>
    </w:p>
    <w:p w:rsidR="006B1B07" w:rsidRDefault="006B1B07" w:rsidP="00465C0E"/>
    <w:p w:rsidR="006B1B07" w:rsidRDefault="006B1B07"/>
    <w:sectPr w:rsidR="006B1B07" w:rsidSect="00BE43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02AFF"/>
    <w:multiLevelType w:val="singleLevel"/>
    <w:tmpl w:val="0424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C0E"/>
    <w:rsid w:val="00082D7A"/>
    <w:rsid w:val="00151287"/>
    <w:rsid w:val="00184948"/>
    <w:rsid w:val="00323DF5"/>
    <w:rsid w:val="00360876"/>
    <w:rsid w:val="00440AEA"/>
    <w:rsid w:val="00465C0E"/>
    <w:rsid w:val="00467667"/>
    <w:rsid w:val="004B4EBD"/>
    <w:rsid w:val="004D252E"/>
    <w:rsid w:val="00575267"/>
    <w:rsid w:val="0067218B"/>
    <w:rsid w:val="006741EA"/>
    <w:rsid w:val="006B1B07"/>
    <w:rsid w:val="00724BE4"/>
    <w:rsid w:val="00745029"/>
    <w:rsid w:val="008360CA"/>
    <w:rsid w:val="00A16966"/>
    <w:rsid w:val="00AA0E53"/>
    <w:rsid w:val="00AA4C6F"/>
    <w:rsid w:val="00B8503B"/>
    <w:rsid w:val="00BE4398"/>
    <w:rsid w:val="00C8172C"/>
    <w:rsid w:val="00CC012B"/>
    <w:rsid w:val="00CD2E58"/>
    <w:rsid w:val="00E05DB7"/>
    <w:rsid w:val="00E84187"/>
    <w:rsid w:val="00EF2B5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65C0E"/>
    <w:rPr>
      <w:rFonts w:ascii="Times New Roman" w:eastAsia="Times New Roman" w:hAnsi="Times New Roman"/>
      <w:sz w:val="20"/>
      <w:szCs w:val="20"/>
    </w:rPr>
  </w:style>
  <w:style w:type="paragraph" w:styleId="Naslov1">
    <w:name w:val="heading 1"/>
    <w:basedOn w:val="Navaden"/>
    <w:next w:val="Navaden"/>
    <w:link w:val="Naslov1Znak"/>
    <w:uiPriority w:val="99"/>
    <w:qFormat/>
    <w:rsid w:val="00465C0E"/>
    <w:pPr>
      <w:keepNext/>
      <w:outlineLvl w:val="0"/>
    </w:pPr>
    <w:rPr>
      <w:b/>
      <w:sz w:val="28"/>
    </w:rPr>
  </w:style>
  <w:style w:type="paragraph" w:styleId="Naslov2">
    <w:name w:val="heading 2"/>
    <w:basedOn w:val="Navaden"/>
    <w:next w:val="Navaden"/>
    <w:link w:val="Naslov2Znak"/>
    <w:uiPriority w:val="99"/>
    <w:qFormat/>
    <w:rsid w:val="00465C0E"/>
    <w:pPr>
      <w:keepNext/>
      <w:jc w:val="both"/>
      <w:outlineLvl w:val="1"/>
    </w:pPr>
    <w:rPr>
      <w:b/>
      <w:i/>
      <w:sz w:val="22"/>
    </w:rPr>
  </w:style>
  <w:style w:type="paragraph" w:styleId="Naslov3">
    <w:name w:val="heading 3"/>
    <w:basedOn w:val="Navaden"/>
    <w:link w:val="Naslov3Znak"/>
    <w:uiPriority w:val="99"/>
    <w:qFormat/>
    <w:rsid w:val="00465C0E"/>
    <w:pPr>
      <w:spacing w:before="100" w:after="100"/>
      <w:outlineLvl w:val="2"/>
    </w:pPr>
    <w:rPr>
      <w:b/>
      <w:sz w:val="27"/>
    </w:rPr>
  </w:style>
  <w:style w:type="paragraph" w:styleId="Naslov4">
    <w:name w:val="heading 4"/>
    <w:basedOn w:val="Navaden"/>
    <w:next w:val="Navaden"/>
    <w:link w:val="Naslov4Znak"/>
    <w:unhideWhenUsed/>
    <w:qFormat/>
    <w:locked/>
    <w:rsid w:val="00EF2B55"/>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nhideWhenUsed/>
    <w:qFormat/>
    <w:locked/>
    <w:rsid w:val="00EF2B55"/>
    <w:pPr>
      <w:spacing w:before="240" w:after="60"/>
      <w:outlineLvl w:val="4"/>
    </w:pPr>
    <w:rPr>
      <w:rFonts w:asciiTheme="minorHAnsi" w:eastAsiaTheme="minorEastAsia" w:hAnsiTheme="minorHAnsi" w:cstheme="minorBid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465C0E"/>
    <w:rPr>
      <w:rFonts w:ascii="Times New Roman" w:hAnsi="Times New Roman" w:cs="Times New Roman"/>
      <w:b/>
      <w:sz w:val="20"/>
      <w:szCs w:val="20"/>
      <w:lang w:eastAsia="sl-SI"/>
    </w:rPr>
  </w:style>
  <w:style w:type="character" w:customStyle="1" w:styleId="Naslov2Znak">
    <w:name w:val="Naslov 2 Znak"/>
    <w:basedOn w:val="Privzetapisavaodstavka"/>
    <w:link w:val="Naslov2"/>
    <w:uiPriority w:val="99"/>
    <w:semiHidden/>
    <w:locked/>
    <w:rsid w:val="00465C0E"/>
    <w:rPr>
      <w:rFonts w:ascii="Times New Roman" w:hAnsi="Times New Roman" w:cs="Times New Roman"/>
      <w:b/>
      <w:i/>
      <w:sz w:val="20"/>
      <w:szCs w:val="20"/>
      <w:lang w:eastAsia="sl-SI"/>
    </w:rPr>
  </w:style>
  <w:style w:type="character" w:customStyle="1" w:styleId="Naslov3Znak">
    <w:name w:val="Naslov 3 Znak"/>
    <w:basedOn w:val="Privzetapisavaodstavka"/>
    <w:link w:val="Naslov3"/>
    <w:uiPriority w:val="99"/>
    <w:semiHidden/>
    <w:locked/>
    <w:rsid w:val="00465C0E"/>
    <w:rPr>
      <w:rFonts w:ascii="Times New Roman" w:hAnsi="Times New Roman" w:cs="Times New Roman"/>
      <w:b/>
      <w:sz w:val="20"/>
      <w:szCs w:val="20"/>
      <w:lang w:eastAsia="sl-SI"/>
    </w:rPr>
  </w:style>
  <w:style w:type="paragraph" w:styleId="Sprotnaopomba-besedilo">
    <w:name w:val="footnote text"/>
    <w:basedOn w:val="Navaden"/>
    <w:link w:val="Sprotnaopomba-besediloZnak"/>
    <w:uiPriority w:val="99"/>
    <w:semiHidden/>
    <w:rsid w:val="00465C0E"/>
  </w:style>
  <w:style w:type="character" w:customStyle="1" w:styleId="Sprotnaopomba-besediloZnak">
    <w:name w:val="Sprotna opomba - besedilo Znak"/>
    <w:basedOn w:val="Privzetapisavaodstavka"/>
    <w:link w:val="Sprotnaopomba-besedilo"/>
    <w:uiPriority w:val="99"/>
    <w:semiHidden/>
    <w:locked/>
    <w:rsid w:val="00465C0E"/>
    <w:rPr>
      <w:rFonts w:ascii="Times New Roman" w:hAnsi="Times New Roman" w:cs="Times New Roman"/>
      <w:sz w:val="20"/>
      <w:szCs w:val="20"/>
      <w:lang w:eastAsia="sl-SI"/>
    </w:rPr>
  </w:style>
  <w:style w:type="paragraph" w:styleId="Telobesedila">
    <w:name w:val="Body Text"/>
    <w:basedOn w:val="Navaden"/>
    <w:link w:val="TelobesedilaZnak"/>
    <w:uiPriority w:val="99"/>
    <w:semiHidden/>
    <w:rsid w:val="00465C0E"/>
    <w:pPr>
      <w:jc w:val="both"/>
    </w:pPr>
    <w:rPr>
      <w:b/>
      <w:sz w:val="24"/>
    </w:rPr>
  </w:style>
  <w:style w:type="character" w:customStyle="1" w:styleId="TelobesedilaZnak">
    <w:name w:val="Telo besedila Znak"/>
    <w:basedOn w:val="Privzetapisavaodstavka"/>
    <w:link w:val="Telobesedila"/>
    <w:uiPriority w:val="99"/>
    <w:semiHidden/>
    <w:locked/>
    <w:rsid w:val="00465C0E"/>
    <w:rPr>
      <w:rFonts w:ascii="Times New Roman" w:hAnsi="Times New Roman" w:cs="Times New Roman"/>
      <w:b/>
      <w:sz w:val="20"/>
      <w:szCs w:val="20"/>
      <w:lang w:eastAsia="sl-SI"/>
    </w:rPr>
  </w:style>
  <w:style w:type="paragraph" w:styleId="Telobesedila3">
    <w:name w:val="Body Text 3"/>
    <w:basedOn w:val="Navaden"/>
    <w:link w:val="Telobesedila3Znak"/>
    <w:uiPriority w:val="99"/>
    <w:semiHidden/>
    <w:rsid w:val="00465C0E"/>
    <w:pPr>
      <w:jc w:val="both"/>
    </w:pPr>
    <w:rPr>
      <w:b/>
      <w:sz w:val="24"/>
    </w:rPr>
  </w:style>
  <w:style w:type="character" w:customStyle="1" w:styleId="Telobesedila3Znak">
    <w:name w:val="Telo besedila 3 Znak"/>
    <w:basedOn w:val="Privzetapisavaodstavka"/>
    <w:link w:val="Telobesedila3"/>
    <w:uiPriority w:val="99"/>
    <w:semiHidden/>
    <w:locked/>
    <w:rsid w:val="00465C0E"/>
    <w:rPr>
      <w:rFonts w:ascii="Times New Roman" w:hAnsi="Times New Roman" w:cs="Times New Roman"/>
      <w:b/>
      <w:sz w:val="20"/>
      <w:szCs w:val="20"/>
      <w:lang w:eastAsia="sl-SI"/>
    </w:rPr>
  </w:style>
  <w:style w:type="table" w:styleId="Tabela-mrea">
    <w:name w:val="Table Grid"/>
    <w:basedOn w:val="Navadnatabela"/>
    <w:uiPriority w:val="99"/>
    <w:locked/>
    <w:rsid w:val="006741E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4Znak">
    <w:name w:val="Naslov 4 Znak"/>
    <w:basedOn w:val="Privzetapisavaodstavka"/>
    <w:link w:val="Naslov4"/>
    <w:rsid w:val="00EF2B55"/>
    <w:rPr>
      <w:rFonts w:asciiTheme="minorHAnsi" w:eastAsiaTheme="minorEastAsia" w:hAnsiTheme="minorHAnsi" w:cstheme="minorBidi"/>
      <w:b/>
      <w:bCs/>
      <w:sz w:val="28"/>
      <w:szCs w:val="28"/>
    </w:rPr>
  </w:style>
  <w:style w:type="paragraph" w:styleId="Naslov">
    <w:name w:val="Title"/>
    <w:basedOn w:val="Navaden"/>
    <w:next w:val="Navaden"/>
    <w:link w:val="NaslovZnak"/>
    <w:qFormat/>
    <w:locked/>
    <w:rsid w:val="00EF2B55"/>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EF2B55"/>
    <w:rPr>
      <w:rFonts w:asciiTheme="majorHAnsi" w:eastAsiaTheme="majorEastAsia" w:hAnsiTheme="majorHAnsi" w:cstheme="majorBidi"/>
      <w:b/>
      <w:bCs/>
      <w:kern w:val="28"/>
      <w:sz w:val="32"/>
      <w:szCs w:val="32"/>
    </w:rPr>
  </w:style>
  <w:style w:type="character" w:customStyle="1" w:styleId="Naslov5Znak">
    <w:name w:val="Naslov 5 Znak"/>
    <w:basedOn w:val="Privzetapisavaodstavka"/>
    <w:link w:val="Naslov5"/>
    <w:rsid w:val="00EF2B55"/>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divs>
    <w:div w:id="614100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F7C37-E972-4573-9339-BA2EA2D6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1463</Words>
  <Characters>8451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Tone Peršak</cp:lastModifiedBy>
  <cp:revision>6</cp:revision>
  <cp:lastPrinted>2012-04-11T16:01:00Z</cp:lastPrinted>
  <dcterms:created xsi:type="dcterms:W3CDTF">2012-04-06T09:45:00Z</dcterms:created>
  <dcterms:modified xsi:type="dcterms:W3CDTF">2012-04-11T16:11:00Z</dcterms:modified>
</cp:coreProperties>
</file>