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CF1AD7" w:rsidRDefault="00DD75ED" w:rsidP="005836E0">
      <w:pPr>
        <w:spacing w:after="0" w:line="240" w:lineRule="auto"/>
        <w:rPr>
          <w:rFonts w:ascii="Times New Roman" w:eastAsia="Times New Roman" w:hAnsi="Times New Roman" w:cs="Times New Roman"/>
          <w:b/>
          <w:sz w:val="24"/>
          <w:szCs w:val="24"/>
        </w:rPr>
      </w:pPr>
      <w:r w:rsidRPr="00CF1AD7">
        <w:rPr>
          <w:rFonts w:ascii="Times New Roman" w:eastAsia="Times New Roman" w:hAnsi="Times New Roman" w:cs="Times New Roman"/>
          <w:b/>
          <w:sz w:val="24"/>
          <w:szCs w:val="24"/>
        </w:rPr>
        <w:t>OBČINA TRZIN</w:t>
      </w:r>
    </w:p>
    <w:p w:rsidR="00DD75ED" w:rsidRPr="00CF1AD7" w:rsidRDefault="00DD75ED" w:rsidP="005836E0">
      <w:pPr>
        <w:spacing w:after="0" w:line="240" w:lineRule="auto"/>
        <w:rPr>
          <w:rFonts w:ascii="Times New Roman" w:eastAsia="Times New Roman" w:hAnsi="Times New Roman" w:cs="Times New Roman"/>
          <w:b/>
          <w:sz w:val="24"/>
          <w:szCs w:val="24"/>
        </w:rPr>
      </w:pPr>
      <w:r w:rsidRPr="00CF1AD7">
        <w:rPr>
          <w:rFonts w:ascii="Times New Roman" w:eastAsia="Times New Roman" w:hAnsi="Times New Roman" w:cs="Times New Roman"/>
          <w:b/>
          <w:sz w:val="24"/>
          <w:szCs w:val="24"/>
        </w:rPr>
        <w:t>Občinski svet</w:t>
      </w:r>
    </w:p>
    <w:p w:rsidR="00DD75ED" w:rsidRPr="00DD75ED" w:rsidRDefault="00DD75ED" w:rsidP="005836E0">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28603A" w:rsidRDefault="001F1183" w:rsidP="005836E0">
      <w:pPr>
        <w:spacing w:after="0" w:line="240" w:lineRule="auto"/>
        <w:rPr>
          <w:rFonts w:ascii="Garamond" w:eastAsia="Times New Roman" w:hAnsi="Garamond" w:cs="Times New Roman"/>
          <w:sz w:val="24"/>
          <w:szCs w:val="24"/>
        </w:rPr>
      </w:pPr>
      <w:r w:rsidRPr="0028603A">
        <w:rPr>
          <w:rFonts w:ascii="Garamond" w:eastAsia="Times New Roman" w:hAnsi="Garamond" w:cs="Times New Roman"/>
          <w:sz w:val="24"/>
          <w:szCs w:val="24"/>
        </w:rPr>
        <w:t>Številka zadeve: 9000-0011</w:t>
      </w:r>
      <w:r w:rsidR="00DD75ED" w:rsidRPr="0028603A">
        <w:rPr>
          <w:rFonts w:ascii="Garamond" w:eastAsia="Times New Roman" w:hAnsi="Garamond" w:cs="Times New Roman"/>
          <w:sz w:val="24"/>
          <w:szCs w:val="24"/>
        </w:rPr>
        <w:t>/2014-</w:t>
      </w:r>
    </w:p>
    <w:p w:rsidR="00DD75ED" w:rsidRPr="0028603A" w:rsidRDefault="003D4073" w:rsidP="005836E0">
      <w:pPr>
        <w:spacing w:after="0" w:line="240" w:lineRule="auto"/>
        <w:rPr>
          <w:rFonts w:ascii="Garamond" w:eastAsia="Times New Roman" w:hAnsi="Garamond" w:cs="Times New Roman"/>
          <w:sz w:val="24"/>
          <w:szCs w:val="24"/>
          <w:lang w:eastAsia="en-US"/>
        </w:rPr>
      </w:pPr>
      <w:r w:rsidRPr="0028603A">
        <w:rPr>
          <w:rFonts w:ascii="Garamond" w:eastAsia="Times New Roman" w:hAnsi="Garamond" w:cs="Times New Roman"/>
          <w:sz w:val="24"/>
          <w:szCs w:val="24"/>
          <w:lang w:eastAsia="en-US"/>
        </w:rPr>
        <w:t>Datum: 11.02.2015</w:t>
      </w:r>
    </w:p>
    <w:p w:rsidR="009059FB" w:rsidRPr="0028603A" w:rsidRDefault="009059FB" w:rsidP="009059FB">
      <w:pPr>
        <w:tabs>
          <w:tab w:val="left" w:pos="993"/>
        </w:tabs>
        <w:spacing w:after="0" w:line="240" w:lineRule="auto"/>
        <w:jc w:val="both"/>
        <w:rPr>
          <w:rFonts w:ascii="Garamond" w:eastAsia="Times New Roman" w:hAnsi="Garamond" w:cs="Times New Roman"/>
          <w:bCs/>
          <w:sz w:val="24"/>
          <w:szCs w:val="24"/>
        </w:rPr>
      </w:pPr>
    </w:p>
    <w:p w:rsidR="0028603A" w:rsidRPr="0028603A" w:rsidRDefault="0028603A" w:rsidP="0028603A">
      <w:pPr>
        <w:tabs>
          <w:tab w:val="left" w:pos="993"/>
        </w:tabs>
        <w:spacing w:after="0" w:line="240" w:lineRule="auto"/>
        <w:jc w:val="both"/>
        <w:rPr>
          <w:rFonts w:ascii="Garamond" w:eastAsia="Times New Roman" w:hAnsi="Garamond" w:cs="Calibri"/>
          <w:bCs/>
          <w:sz w:val="24"/>
          <w:szCs w:val="24"/>
        </w:rPr>
      </w:pPr>
      <w:r w:rsidRPr="0028603A">
        <w:rPr>
          <w:rFonts w:ascii="Garamond" w:eastAsia="Times New Roman" w:hAnsi="Garamond" w:cs="Calibri"/>
          <w:bCs/>
          <w:sz w:val="24"/>
          <w:szCs w:val="24"/>
        </w:rPr>
        <w:t xml:space="preserve">Občinski svet Občine Trzin je na podlagi </w:t>
      </w:r>
      <w:r w:rsidRPr="0028603A">
        <w:rPr>
          <w:rFonts w:ascii="Garamond" w:eastAsia="Times New Roman" w:hAnsi="Garamond" w:cs="Arial"/>
          <w:sz w:val="24"/>
          <w:szCs w:val="24"/>
        </w:rPr>
        <w:t xml:space="preserve">Zakona o lokalni samoupravi (Uradni list RS, št. </w:t>
      </w:r>
      <w:hyperlink r:id="rId7" w:tgtFrame="_blank" w:tooltip="Zakon o lokalni samoupravi (uradno prečiščeno besedilo)" w:history="1">
        <w:r w:rsidRPr="0028603A">
          <w:rPr>
            <w:rFonts w:ascii="Garamond" w:eastAsia="Times New Roman" w:hAnsi="Garamond" w:cs="Arial"/>
            <w:sz w:val="24"/>
            <w:szCs w:val="24"/>
          </w:rPr>
          <w:t>94/07</w:t>
        </w:r>
      </w:hyperlink>
      <w:r w:rsidRPr="0028603A">
        <w:rPr>
          <w:rFonts w:ascii="Garamond" w:eastAsia="Times New Roman" w:hAnsi="Garamond" w:cs="Arial"/>
          <w:sz w:val="24"/>
          <w:szCs w:val="24"/>
        </w:rPr>
        <w:t xml:space="preserve"> - uradno prečiščeno besedilo 2, </w:t>
      </w:r>
      <w:hyperlink r:id="rId8" w:tgtFrame="_blank" w:tooltip="Zakon o dopolnitvi Zakona o lokalni samoupravi" w:history="1">
        <w:r w:rsidRPr="0028603A">
          <w:rPr>
            <w:rFonts w:ascii="Garamond" w:eastAsia="Times New Roman" w:hAnsi="Garamond" w:cs="Arial"/>
            <w:sz w:val="24"/>
            <w:szCs w:val="24"/>
          </w:rPr>
          <w:t>76/08</w:t>
        </w:r>
      </w:hyperlink>
      <w:r w:rsidRPr="0028603A">
        <w:rPr>
          <w:rFonts w:ascii="Garamond" w:eastAsia="Times New Roman" w:hAnsi="Garamond" w:cs="Arial"/>
          <w:sz w:val="24"/>
          <w:szCs w:val="24"/>
        </w:rPr>
        <w:t xml:space="preserve">, </w:t>
      </w:r>
      <w:hyperlink r:id="rId9" w:tgtFrame="_blank" w:tooltip="Zakon o spremembah in dopolnitvah Zakona o lokalni samoupravi" w:history="1">
        <w:r w:rsidRPr="0028603A">
          <w:rPr>
            <w:rFonts w:ascii="Garamond" w:eastAsia="Times New Roman" w:hAnsi="Garamond" w:cs="Arial"/>
            <w:sz w:val="24"/>
            <w:szCs w:val="24"/>
          </w:rPr>
          <w:t>79/09</w:t>
        </w:r>
      </w:hyperlink>
      <w:r w:rsidRPr="0028603A">
        <w:rPr>
          <w:rFonts w:ascii="Garamond" w:eastAsia="Times New Roman" w:hAnsi="Garamond" w:cs="Arial"/>
          <w:sz w:val="24"/>
          <w:szCs w:val="24"/>
        </w:rPr>
        <w:t xml:space="preserve">, </w:t>
      </w:r>
      <w:hyperlink r:id="rId10" w:tgtFrame="_blank" w:tooltip="Zakon o spremembah in dopolnitvah Zakona o lokalni samoupravi" w:history="1">
        <w:r w:rsidRPr="0028603A">
          <w:rPr>
            <w:rFonts w:ascii="Garamond" w:eastAsia="Times New Roman" w:hAnsi="Garamond" w:cs="Arial"/>
            <w:sz w:val="24"/>
            <w:szCs w:val="24"/>
          </w:rPr>
          <w:t>51/10</w:t>
        </w:r>
      </w:hyperlink>
      <w:r w:rsidRPr="0028603A">
        <w:rPr>
          <w:rFonts w:ascii="Garamond" w:eastAsia="Times New Roman" w:hAnsi="Garamond" w:cs="Arial"/>
          <w:sz w:val="24"/>
          <w:szCs w:val="24"/>
        </w:rPr>
        <w:t xml:space="preserve"> in </w:t>
      </w:r>
      <w:hyperlink r:id="rId11" w:tgtFrame="_blank" w:tooltip="Zakon za uravnoteženje javnih financ" w:history="1">
        <w:r w:rsidRPr="0028603A">
          <w:rPr>
            <w:rFonts w:ascii="Garamond" w:eastAsia="Times New Roman" w:hAnsi="Garamond" w:cs="Arial"/>
            <w:sz w:val="24"/>
            <w:szCs w:val="24"/>
          </w:rPr>
          <w:t>40/12</w:t>
        </w:r>
      </w:hyperlink>
      <w:r w:rsidRPr="0028603A">
        <w:rPr>
          <w:rFonts w:ascii="Garamond" w:eastAsia="Times New Roman" w:hAnsi="Garamond" w:cs="Arial"/>
          <w:sz w:val="24"/>
          <w:szCs w:val="24"/>
        </w:rPr>
        <w:t xml:space="preserve"> - </w:t>
      </w:r>
      <w:proofErr w:type="spellStart"/>
      <w:r w:rsidRPr="0028603A">
        <w:rPr>
          <w:rFonts w:ascii="Garamond" w:eastAsia="Times New Roman" w:hAnsi="Garamond" w:cs="Arial"/>
          <w:sz w:val="24"/>
          <w:szCs w:val="24"/>
        </w:rPr>
        <w:t>ZUJF</w:t>
      </w:r>
      <w:proofErr w:type="spellEnd"/>
      <w:r w:rsidRPr="0028603A">
        <w:rPr>
          <w:rFonts w:ascii="Garamond" w:eastAsia="Times New Roman" w:hAnsi="Garamond" w:cs="Arial"/>
          <w:sz w:val="24"/>
          <w:szCs w:val="24"/>
        </w:rPr>
        <w:t>)</w:t>
      </w:r>
      <w:r w:rsidRPr="0028603A">
        <w:rPr>
          <w:rFonts w:ascii="Garamond" w:eastAsia="Times New Roman" w:hAnsi="Garamond" w:cs="Calibri"/>
          <w:bCs/>
          <w:sz w:val="24"/>
          <w:szCs w:val="24"/>
        </w:rPr>
        <w:t xml:space="preserve">, </w:t>
      </w:r>
      <w:r w:rsidRPr="0028603A">
        <w:rPr>
          <w:rFonts w:ascii="Garamond" w:eastAsia="Times New Roman" w:hAnsi="Garamond" w:cs="Arial"/>
          <w:sz w:val="24"/>
          <w:szCs w:val="24"/>
        </w:rPr>
        <w:t xml:space="preserve">Zakona o javnih financah (Uradni list RS, št. </w:t>
      </w:r>
      <w:hyperlink r:id="rId12" w:tgtFrame="_blank" w:tooltip="Zakon o javnih financah (uradno prečiščeno besedilo)" w:history="1">
        <w:r w:rsidRPr="0028603A">
          <w:rPr>
            <w:rFonts w:ascii="Garamond" w:eastAsia="Times New Roman" w:hAnsi="Garamond" w:cs="Arial"/>
            <w:sz w:val="24"/>
            <w:szCs w:val="24"/>
          </w:rPr>
          <w:t>11/11</w:t>
        </w:r>
      </w:hyperlink>
      <w:r w:rsidRPr="0028603A">
        <w:rPr>
          <w:rFonts w:ascii="Garamond" w:eastAsia="Times New Roman" w:hAnsi="Garamond" w:cs="Arial"/>
          <w:sz w:val="24"/>
          <w:szCs w:val="24"/>
        </w:rPr>
        <w:t xml:space="preserve"> - uradno prečiščeno besedilo, </w:t>
      </w:r>
      <w:hyperlink r:id="rId13" w:tgtFrame="_blank" w:tooltip="Popravek Uradnega prečiščenega besedila Zakona  o javnih financah (ZJF-UPB4p)" w:history="1">
        <w:r w:rsidRPr="0028603A">
          <w:rPr>
            <w:rFonts w:ascii="Garamond" w:eastAsia="Times New Roman" w:hAnsi="Garamond" w:cs="Arial"/>
            <w:sz w:val="24"/>
            <w:szCs w:val="24"/>
          </w:rPr>
          <w:t xml:space="preserve">14/13 - </w:t>
        </w:r>
        <w:proofErr w:type="spellStart"/>
        <w:r w:rsidRPr="0028603A">
          <w:rPr>
            <w:rFonts w:ascii="Garamond" w:eastAsia="Times New Roman" w:hAnsi="Garamond" w:cs="Arial"/>
            <w:sz w:val="24"/>
            <w:szCs w:val="24"/>
          </w:rPr>
          <w:t>popr</w:t>
        </w:r>
        <w:proofErr w:type="spellEnd"/>
        <w:r w:rsidRPr="0028603A">
          <w:rPr>
            <w:rFonts w:ascii="Garamond" w:eastAsia="Times New Roman" w:hAnsi="Garamond" w:cs="Arial"/>
            <w:sz w:val="24"/>
            <w:szCs w:val="24"/>
          </w:rPr>
          <w:t>.</w:t>
        </w:r>
      </w:hyperlink>
      <w:r w:rsidRPr="0028603A">
        <w:rPr>
          <w:rFonts w:ascii="Garamond" w:eastAsia="Times New Roman" w:hAnsi="Garamond" w:cs="Arial"/>
          <w:sz w:val="24"/>
          <w:szCs w:val="24"/>
        </w:rPr>
        <w:t xml:space="preserve"> in </w:t>
      </w:r>
      <w:hyperlink r:id="rId14" w:tgtFrame="_blank" w:tooltip="Zakon o dopolnitvi Zakona o javnih financah" w:history="1">
        <w:r w:rsidRPr="0028603A">
          <w:rPr>
            <w:rFonts w:ascii="Garamond" w:eastAsia="Times New Roman" w:hAnsi="Garamond" w:cs="Arial"/>
            <w:sz w:val="24"/>
            <w:szCs w:val="24"/>
          </w:rPr>
          <w:t>101/13</w:t>
        </w:r>
      </w:hyperlink>
      <w:r w:rsidRPr="0028603A">
        <w:rPr>
          <w:rFonts w:ascii="Garamond" w:eastAsia="Times New Roman" w:hAnsi="Garamond" w:cs="Arial"/>
          <w:sz w:val="24"/>
          <w:szCs w:val="24"/>
        </w:rPr>
        <w:t>)</w:t>
      </w:r>
      <w:r w:rsidRPr="0028603A">
        <w:rPr>
          <w:rFonts w:ascii="Garamond" w:eastAsia="Times New Roman" w:hAnsi="Garamond" w:cs="Calibri"/>
          <w:bCs/>
          <w:sz w:val="24"/>
          <w:szCs w:val="24"/>
        </w:rPr>
        <w:t xml:space="preserve">, </w:t>
      </w:r>
      <w:r w:rsidRPr="0028603A">
        <w:rPr>
          <w:rFonts w:ascii="Garamond" w:eastAsia="Times New Roman" w:hAnsi="Garamond" w:cs="Arial"/>
          <w:sz w:val="24"/>
          <w:szCs w:val="24"/>
        </w:rPr>
        <w:t xml:space="preserve">Zakona o financiranju občin (Uradni list RS, št. </w:t>
      </w:r>
      <w:hyperlink r:id="rId15" w:tgtFrame="_blank" w:tooltip="Zakon o financiranju občin (uradno prečiščeno besedilo)" w:history="1">
        <w:r w:rsidRPr="0028603A">
          <w:rPr>
            <w:rFonts w:ascii="Garamond" w:eastAsia="Times New Roman" w:hAnsi="Garamond" w:cs="Arial"/>
            <w:sz w:val="24"/>
            <w:szCs w:val="24"/>
          </w:rPr>
          <w:t>32/06</w:t>
        </w:r>
      </w:hyperlink>
      <w:r w:rsidRPr="0028603A">
        <w:rPr>
          <w:rFonts w:ascii="Garamond" w:eastAsia="Times New Roman" w:hAnsi="Garamond" w:cs="Arial"/>
          <w:sz w:val="24"/>
          <w:szCs w:val="24"/>
        </w:rPr>
        <w:t xml:space="preserve"> - uradno prečiščeno besedilo, </w:t>
      </w:r>
      <w:hyperlink r:id="rId16" w:tgtFrame="_blank" w:tooltip="Zakon o financiranju občin" w:history="1">
        <w:r w:rsidRPr="0028603A">
          <w:rPr>
            <w:rFonts w:ascii="Garamond" w:eastAsia="Times New Roman" w:hAnsi="Garamond" w:cs="Arial"/>
            <w:sz w:val="24"/>
            <w:szCs w:val="24"/>
          </w:rPr>
          <w:t>123/06</w:t>
        </w:r>
      </w:hyperlink>
      <w:r w:rsidRPr="0028603A">
        <w:rPr>
          <w:rFonts w:ascii="Garamond" w:eastAsia="Times New Roman" w:hAnsi="Garamond" w:cs="Arial"/>
          <w:sz w:val="24"/>
          <w:szCs w:val="24"/>
        </w:rPr>
        <w:t xml:space="preserve"> - ZFO-1 in </w:t>
      </w:r>
      <w:hyperlink r:id="rId17" w:tgtFrame="_blank" w:tooltip="Zakon o spremembah in dopolnitvah Zakona o financiranju občin" w:history="1">
        <w:r w:rsidRPr="0028603A">
          <w:rPr>
            <w:rFonts w:ascii="Garamond" w:eastAsia="Times New Roman" w:hAnsi="Garamond" w:cs="Arial"/>
            <w:sz w:val="24"/>
            <w:szCs w:val="24"/>
          </w:rPr>
          <w:t>57/08</w:t>
        </w:r>
      </w:hyperlink>
      <w:r w:rsidRPr="0028603A">
        <w:rPr>
          <w:rFonts w:ascii="Garamond" w:eastAsia="Times New Roman" w:hAnsi="Garamond" w:cs="Arial"/>
          <w:sz w:val="24"/>
          <w:szCs w:val="24"/>
        </w:rPr>
        <w:t xml:space="preserve"> - ZFO-</w:t>
      </w:r>
      <w:proofErr w:type="spellStart"/>
      <w:r w:rsidRPr="0028603A">
        <w:rPr>
          <w:rFonts w:ascii="Garamond" w:eastAsia="Times New Roman" w:hAnsi="Garamond" w:cs="Arial"/>
          <w:sz w:val="24"/>
          <w:szCs w:val="24"/>
        </w:rPr>
        <w:t>1A</w:t>
      </w:r>
      <w:proofErr w:type="spellEnd"/>
      <w:r w:rsidRPr="0028603A">
        <w:rPr>
          <w:rFonts w:ascii="Garamond" w:eastAsia="Times New Roman" w:hAnsi="Garamond" w:cs="Arial"/>
          <w:sz w:val="24"/>
          <w:szCs w:val="24"/>
        </w:rPr>
        <w:t xml:space="preserve">), Zakona o izvrševanju proračunov Republike Slovenije za leti 2014 in 2015 (Uradni list RS, št. </w:t>
      </w:r>
      <w:hyperlink r:id="rId18" w:tgtFrame="_blank" w:tooltip="Zakon o izvrševanju proračunov Republike Slovenije za leti 2014 in 2015 (ZIPRS1415)" w:history="1">
        <w:r w:rsidRPr="0028603A">
          <w:rPr>
            <w:rFonts w:ascii="Garamond" w:eastAsia="Times New Roman" w:hAnsi="Garamond" w:cs="Arial"/>
            <w:sz w:val="24"/>
            <w:szCs w:val="24"/>
          </w:rPr>
          <w:t>101/13</w:t>
        </w:r>
      </w:hyperlink>
      <w:r w:rsidRPr="0028603A">
        <w:rPr>
          <w:rFonts w:ascii="Garamond" w:eastAsia="Times New Roman" w:hAnsi="Garamond" w:cs="Arial"/>
          <w:sz w:val="24"/>
          <w:szCs w:val="24"/>
        </w:rPr>
        <w:t xml:space="preserve">, </w:t>
      </w:r>
      <w:hyperlink r:id="rId19" w:tgtFrame="_blank" w:tooltip="Zakon o spremembah Zakona o Radioteleviziji Slovenija" w:history="1">
        <w:r w:rsidRPr="0028603A">
          <w:rPr>
            <w:rFonts w:ascii="Garamond" w:eastAsia="Times New Roman" w:hAnsi="Garamond" w:cs="Arial"/>
            <w:sz w:val="24"/>
            <w:szCs w:val="24"/>
          </w:rPr>
          <w:t>9/14</w:t>
        </w:r>
      </w:hyperlink>
      <w:r w:rsidRPr="0028603A">
        <w:rPr>
          <w:rFonts w:ascii="Garamond" w:eastAsia="Times New Roman" w:hAnsi="Garamond" w:cs="Arial"/>
          <w:sz w:val="24"/>
          <w:szCs w:val="24"/>
        </w:rPr>
        <w:t xml:space="preserve"> - ZRTVS-</w:t>
      </w:r>
      <w:proofErr w:type="spellStart"/>
      <w:r w:rsidRPr="0028603A">
        <w:rPr>
          <w:rFonts w:ascii="Garamond" w:eastAsia="Times New Roman" w:hAnsi="Garamond" w:cs="Arial"/>
          <w:sz w:val="24"/>
          <w:szCs w:val="24"/>
        </w:rPr>
        <w:t>1A</w:t>
      </w:r>
      <w:proofErr w:type="spellEnd"/>
      <w:r w:rsidRPr="0028603A">
        <w:rPr>
          <w:rFonts w:ascii="Garamond" w:eastAsia="Times New Roman" w:hAnsi="Garamond" w:cs="Arial"/>
          <w:sz w:val="24"/>
          <w:szCs w:val="24"/>
        </w:rPr>
        <w:t xml:space="preserve">, </w:t>
      </w:r>
      <w:hyperlink r:id="rId20" w:tgtFrame="_blank" w:tooltip="Zakon o Slovenskem državnem holdingu" w:history="1">
        <w:r w:rsidRPr="0028603A">
          <w:rPr>
            <w:rFonts w:ascii="Garamond" w:eastAsia="Times New Roman" w:hAnsi="Garamond" w:cs="Arial"/>
            <w:sz w:val="24"/>
            <w:szCs w:val="24"/>
          </w:rPr>
          <w:t>25/14</w:t>
        </w:r>
      </w:hyperlink>
      <w:r w:rsidRPr="0028603A">
        <w:rPr>
          <w:rFonts w:ascii="Garamond" w:eastAsia="Times New Roman" w:hAnsi="Garamond" w:cs="Arial"/>
          <w:sz w:val="24"/>
          <w:szCs w:val="24"/>
        </w:rPr>
        <w:t xml:space="preserve"> - </w:t>
      </w:r>
      <w:proofErr w:type="spellStart"/>
      <w:r w:rsidRPr="0028603A">
        <w:rPr>
          <w:rFonts w:ascii="Garamond" w:eastAsia="Times New Roman" w:hAnsi="Garamond" w:cs="Arial"/>
          <w:sz w:val="24"/>
          <w:szCs w:val="24"/>
        </w:rPr>
        <w:t>ZSDH</w:t>
      </w:r>
      <w:proofErr w:type="spellEnd"/>
      <w:r w:rsidRPr="0028603A">
        <w:rPr>
          <w:rFonts w:ascii="Garamond" w:eastAsia="Times New Roman" w:hAnsi="Garamond" w:cs="Arial"/>
          <w:sz w:val="24"/>
          <w:szCs w:val="24"/>
        </w:rPr>
        <w:t xml:space="preserve">-1 in </w:t>
      </w:r>
      <w:hyperlink r:id="rId21" w:tgtFrame="_blank" w:tooltip="Zakon o spremembah in dopolnitvah Zakona o izvrševanju proračunov Republike Slovenije za leti 2014 in 2015" w:history="1">
        <w:r w:rsidRPr="0028603A">
          <w:rPr>
            <w:rFonts w:ascii="Garamond" w:eastAsia="Times New Roman" w:hAnsi="Garamond" w:cs="Arial"/>
            <w:sz w:val="24"/>
            <w:szCs w:val="24"/>
          </w:rPr>
          <w:t>38/14</w:t>
        </w:r>
      </w:hyperlink>
      <w:r w:rsidRPr="0028603A">
        <w:rPr>
          <w:rFonts w:ascii="Garamond" w:eastAsia="Times New Roman" w:hAnsi="Garamond" w:cs="Arial"/>
          <w:sz w:val="24"/>
          <w:szCs w:val="24"/>
        </w:rPr>
        <w:t>)</w:t>
      </w:r>
      <w:r w:rsidRPr="0028603A">
        <w:rPr>
          <w:rFonts w:ascii="Garamond" w:eastAsia="Times New Roman" w:hAnsi="Garamond" w:cs="Calibri"/>
          <w:bCs/>
          <w:sz w:val="24"/>
          <w:szCs w:val="24"/>
        </w:rPr>
        <w:t xml:space="preserve"> in Statuta Občine Trzin (Uradni vestnik </w:t>
      </w:r>
      <w:proofErr w:type="spellStart"/>
      <w:r w:rsidRPr="0028603A">
        <w:rPr>
          <w:rFonts w:ascii="Garamond" w:eastAsia="Times New Roman" w:hAnsi="Garamond" w:cs="Calibri"/>
          <w:bCs/>
          <w:sz w:val="24"/>
          <w:szCs w:val="24"/>
        </w:rPr>
        <w:t>OT</w:t>
      </w:r>
      <w:proofErr w:type="spellEnd"/>
      <w:r w:rsidRPr="0028603A">
        <w:rPr>
          <w:rFonts w:ascii="Garamond" w:eastAsia="Times New Roman" w:hAnsi="Garamond" w:cs="Calibri"/>
          <w:bCs/>
          <w:sz w:val="24"/>
          <w:szCs w:val="24"/>
        </w:rPr>
        <w:t>, št. 2/06 – uradno prečiščeno besedilo 2 in 8/06) na 4. redni seji, dne 11.2.2015 sprejel</w:t>
      </w:r>
    </w:p>
    <w:p w:rsidR="0028603A" w:rsidRDefault="0028603A" w:rsidP="0028603A">
      <w:pPr>
        <w:keepNext/>
        <w:spacing w:after="0" w:line="240" w:lineRule="auto"/>
        <w:jc w:val="center"/>
        <w:outlineLvl w:val="0"/>
        <w:rPr>
          <w:rFonts w:ascii="Garamond" w:eastAsia="Times New Roman" w:hAnsi="Garamond" w:cs="Arial"/>
          <w:b/>
          <w:bCs/>
          <w:kern w:val="32"/>
          <w:sz w:val="24"/>
          <w:szCs w:val="24"/>
        </w:rPr>
      </w:pPr>
    </w:p>
    <w:p w:rsidR="0028603A" w:rsidRPr="0028603A" w:rsidRDefault="0028603A" w:rsidP="0028603A">
      <w:pPr>
        <w:keepNext/>
        <w:spacing w:after="0" w:line="240" w:lineRule="auto"/>
        <w:jc w:val="center"/>
        <w:outlineLvl w:val="0"/>
        <w:rPr>
          <w:rFonts w:ascii="Garamond" w:eastAsia="Times New Roman" w:hAnsi="Garamond" w:cs="Arial"/>
          <w:b/>
          <w:bCs/>
          <w:kern w:val="32"/>
          <w:sz w:val="24"/>
          <w:szCs w:val="24"/>
        </w:rPr>
      </w:pPr>
      <w:r w:rsidRPr="0028603A">
        <w:rPr>
          <w:rFonts w:ascii="Garamond" w:eastAsia="Times New Roman" w:hAnsi="Garamond" w:cs="Arial"/>
          <w:b/>
          <w:bCs/>
          <w:kern w:val="32"/>
          <w:sz w:val="24"/>
          <w:szCs w:val="24"/>
        </w:rPr>
        <w:t>Odlok o Proračunu Občine Trzin za leto 2015</w:t>
      </w:r>
    </w:p>
    <w:p w:rsidR="0028603A" w:rsidRPr="0028603A" w:rsidRDefault="0028603A" w:rsidP="0028603A">
      <w:pPr>
        <w:spacing w:after="0" w:line="240" w:lineRule="auto"/>
        <w:jc w:val="center"/>
        <w:rPr>
          <w:rFonts w:ascii="Garamond" w:eastAsia="Times New Roman" w:hAnsi="Garamond" w:cs="Arial"/>
          <w:bCs/>
          <w:sz w:val="24"/>
          <w:szCs w:val="24"/>
        </w:rPr>
      </w:pPr>
    </w:p>
    <w:p w:rsidR="0028603A" w:rsidRPr="0028603A" w:rsidRDefault="0028603A" w:rsidP="0028603A">
      <w:pPr>
        <w:tabs>
          <w:tab w:val="left" w:pos="-1080"/>
          <w:tab w:val="left" w:pos="-720"/>
          <w:tab w:val="left" w:pos="0"/>
          <w:tab w:val="left" w:pos="810"/>
        </w:tabs>
        <w:spacing w:after="0" w:line="240" w:lineRule="auto"/>
        <w:jc w:val="center"/>
        <w:rPr>
          <w:rFonts w:ascii="Garamond" w:eastAsia="Times New Roman" w:hAnsi="Garamond" w:cs="Arial"/>
          <w:b/>
          <w:sz w:val="24"/>
          <w:szCs w:val="24"/>
        </w:rPr>
      </w:pPr>
      <w:r w:rsidRPr="0028603A">
        <w:rPr>
          <w:rFonts w:ascii="Garamond" w:eastAsia="Times New Roman" w:hAnsi="Garamond" w:cs="Arial"/>
          <w:b/>
          <w:sz w:val="24"/>
          <w:szCs w:val="24"/>
        </w:rPr>
        <w:t>1. SPLOŠNA DOLOČBA</w:t>
      </w:r>
    </w:p>
    <w:p w:rsidR="0028603A" w:rsidRPr="0028603A" w:rsidRDefault="0028603A" w:rsidP="0028603A">
      <w:pPr>
        <w:tabs>
          <w:tab w:val="left" w:pos="-1080"/>
          <w:tab w:val="left" w:pos="-720"/>
          <w:tab w:val="left" w:pos="0"/>
          <w:tab w:val="left" w:pos="810"/>
        </w:tabs>
        <w:spacing w:after="0" w:line="240" w:lineRule="auto"/>
        <w:ind w:left="1980"/>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1.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(vsebina odloka)</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S tem odlokom se za Občino Trzin za leto 2015 določajo proračun, postopki izvrševanja proračuna ter obseg zadolževanja in poroštev občine in javnega sektorja na ravni občine (v nadaljnjem besedilu: proračun).</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28603A">
        <w:rPr>
          <w:rFonts w:ascii="Garamond" w:eastAsia="Times New Roman" w:hAnsi="Garamond" w:cs="Arial"/>
          <w:b/>
          <w:sz w:val="24"/>
          <w:szCs w:val="24"/>
        </w:rPr>
        <w:t>2. VIŠINA SPLOŠNEGA DELA PRORAČUNA IN STRUKTURA POSEBNEGA DELA PRORAČUNA</w:t>
      </w:r>
    </w:p>
    <w:p w:rsidR="0028603A" w:rsidRPr="0028603A" w:rsidRDefault="0028603A" w:rsidP="0028603A">
      <w:pPr>
        <w:tabs>
          <w:tab w:val="left" w:pos="-1080"/>
          <w:tab w:val="left" w:pos="-720"/>
          <w:tab w:val="left" w:pos="0"/>
          <w:tab w:val="left" w:pos="81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2.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(sestava proračuna in višina splošnega dela proračuna)</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V splošnem delu proračuna so za leto 2015 prikazani prejemki in izdatki po ekonomski klasifikaciji do ravni kontov oz. </w:t>
      </w:r>
      <w:proofErr w:type="spellStart"/>
      <w:r w:rsidRPr="0028603A">
        <w:rPr>
          <w:rFonts w:ascii="Garamond" w:eastAsia="Times New Roman" w:hAnsi="Garamond" w:cs="Arial"/>
          <w:sz w:val="24"/>
          <w:szCs w:val="24"/>
        </w:rPr>
        <w:t>podkontov</w:t>
      </w:r>
      <w:proofErr w:type="spellEnd"/>
      <w:r w:rsidRPr="0028603A">
        <w:rPr>
          <w:rFonts w:ascii="Garamond" w:eastAsia="Times New Roman" w:hAnsi="Garamond" w:cs="Arial"/>
          <w:sz w:val="24"/>
          <w:szCs w:val="24"/>
        </w:rPr>
        <w:t xml:space="preserve">. </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28603A">
        <w:rPr>
          <w:rFonts w:ascii="Garamond" w:eastAsia="Times New Roman" w:hAnsi="Garamond" w:cs="Arial"/>
          <w:sz w:val="24"/>
          <w:szCs w:val="24"/>
        </w:rPr>
        <w:t xml:space="preserve">Splošni del proračuna se na ravni podskupin kontov določa v naslednjih zneskih: </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28603A">
        <w:rPr>
          <w:rFonts w:ascii="Garamond" w:eastAsia="Times New Roman" w:hAnsi="Garamond" w:cs="Arial"/>
          <w:sz w:val="24"/>
          <w:szCs w:val="24"/>
        </w:rPr>
        <w:tab/>
      </w:r>
      <w:r w:rsidRPr="0028603A">
        <w:rPr>
          <w:rFonts w:ascii="Garamond" w:eastAsia="Times New Roman" w:hAnsi="Garamond" w:cs="Arial"/>
          <w:sz w:val="24"/>
          <w:szCs w:val="24"/>
        </w:rPr>
        <w:tab/>
      </w:r>
      <w:r w:rsidRPr="0028603A">
        <w:rPr>
          <w:rFonts w:ascii="Garamond" w:eastAsia="Times New Roman" w:hAnsi="Garamond" w:cs="Arial"/>
          <w:sz w:val="24"/>
          <w:szCs w:val="24"/>
        </w:rPr>
        <w:tab/>
      </w:r>
      <w:r w:rsidRPr="0028603A">
        <w:rPr>
          <w:rFonts w:ascii="Garamond" w:eastAsia="Times New Roman" w:hAnsi="Garamond" w:cs="Arial"/>
          <w:sz w:val="24"/>
          <w:szCs w:val="24"/>
        </w:rPr>
        <w:tab/>
      </w:r>
      <w:r w:rsidRPr="0028603A">
        <w:rPr>
          <w:rFonts w:ascii="Garamond" w:eastAsia="Times New Roman" w:hAnsi="Garamond" w:cs="Arial"/>
          <w:sz w:val="24"/>
          <w:szCs w:val="24"/>
        </w:rPr>
        <w:tab/>
      </w:r>
      <w:r w:rsidRPr="0028603A">
        <w:rPr>
          <w:rFonts w:ascii="Garamond" w:eastAsia="Times New Roman" w:hAnsi="Garamond" w:cs="Arial"/>
          <w:sz w:val="24"/>
          <w:szCs w:val="24"/>
        </w:rPr>
        <w:tab/>
      </w:r>
      <w:r w:rsidRPr="0028603A">
        <w:rPr>
          <w:rFonts w:ascii="Garamond" w:eastAsia="Times New Roman" w:hAnsi="Garamond" w:cs="Arial"/>
          <w:sz w:val="24"/>
          <w:szCs w:val="24"/>
        </w:rPr>
        <w:tab/>
        <w:t xml:space="preserve">     </w:t>
      </w:r>
    </w:p>
    <w:tbl>
      <w:tblPr>
        <w:tblW w:w="9035" w:type="dxa"/>
        <w:tblInd w:w="55" w:type="dxa"/>
        <w:tblCellMar>
          <w:left w:w="70" w:type="dxa"/>
          <w:right w:w="70" w:type="dxa"/>
        </w:tblCellMar>
        <w:tblLook w:val="0000" w:firstRow="0" w:lastRow="0" w:firstColumn="0" w:lastColumn="0" w:noHBand="0" w:noVBand="0"/>
      </w:tblPr>
      <w:tblGrid>
        <w:gridCol w:w="2239"/>
        <w:gridCol w:w="3202"/>
        <w:gridCol w:w="2147"/>
        <w:gridCol w:w="1901"/>
      </w:tblGrid>
      <w:tr w:rsidR="0028603A" w:rsidRPr="0028603A" w:rsidTr="00794B13">
        <w:trPr>
          <w:trHeight w:val="300"/>
        </w:trPr>
        <w:tc>
          <w:tcPr>
            <w:tcW w:w="4875" w:type="dxa"/>
            <w:gridSpan w:val="2"/>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i/>
                <w:iCs/>
                <w:sz w:val="24"/>
                <w:szCs w:val="24"/>
              </w:rPr>
            </w:pPr>
            <w:r w:rsidRPr="0028603A">
              <w:rPr>
                <w:rFonts w:ascii="Garamond" w:eastAsia="Times New Roman" w:hAnsi="Garamond" w:cs="Tahoma"/>
                <w:i/>
                <w:iCs/>
                <w:sz w:val="24"/>
                <w:szCs w:val="24"/>
              </w:rPr>
              <w:t>A. BILANCA PRIHODKOV IN ODHODKOV</w:t>
            </w:r>
          </w:p>
        </w:tc>
        <w:tc>
          <w:tcPr>
            <w:tcW w:w="2207" w:type="dxa"/>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                          v evrih</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Skupina/podskupina kontov</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i/>
                <w:sz w:val="24"/>
                <w:szCs w:val="24"/>
              </w:rPr>
            </w:pPr>
            <w:r w:rsidRPr="0028603A">
              <w:rPr>
                <w:rFonts w:ascii="Garamond" w:eastAsia="Times New Roman" w:hAnsi="Garamond" w:cs="Tahoma"/>
                <w:b/>
                <w:bCs/>
                <w:i/>
                <w:sz w:val="24"/>
                <w:szCs w:val="24"/>
              </w:rPr>
              <w:t>NAMEN</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center"/>
              <w:rPr>
                <w:rFonts w:ascii="Garamond" w:eastAsia="Times New Roman" w:hAnsi="Garamond" w:cs="Tahoma"/>
                <w:b/>
                <w:bCs/>
                <w:sz w:val="24"/>
                <w:szCs w:val="24"/>
              </w:rPr>
            </w:pPr>
            <w:r w:rsidRPr="0028603A">
              <w:rPr>
                <w:rFonts w:ascii="Garamond" w:eastAsia="Times New Roman" w:hAnsi="Garamond" w:cs="Tahoma"/>
                <w:b/>
                <w:bCs/>
                <w:sz w:val="24"/>
                <w:szCs w:val="24"/>
              </w:rPr>
              <w:t xml:space="preserve">   PRORAČUN 2015</w:t>
            </w:r>
          </w:p>
        </w:tc>
      </w:tr>
      <w:tr w:rsidR="0028603A" w:rsidRPr="0028603A" w:rsidTr="00794B13">
        <w:trPr>
          <w:trHeight w:val="25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I. SKUPAJ PRIHODKI (70+71+72+73+74)</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4.690.816</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TEKOČI PRIHODKI (70+71)</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3.843.837</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DAVČNI PRIHODKI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2.773.876</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700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Davki na dohodek in dobiček</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1.868.583</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703</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Davki na premoženje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874.443</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704</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Domači davki na blago in storitve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30.850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706</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Drugi davki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NEDAVČNI PRIHODKI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1.069.961</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710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Udeležba na dobičku in dohodki od premoženja</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849.063</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711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Takse in pristojbine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3.200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712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Globe in druge denarne kazni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46.200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lastRenderedPageBreak/>
              <w:t>713</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Prihodki od prodaje blaga in storitev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10.200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714</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Drugi nedavčni prihodki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161.299</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KAPITALSKI PRIHODKI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50.000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720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Prihodki od prodaje osnovnih sredstev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721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Prihodki od prodaje zalog</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722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Prihodki od prodaje zemljišč in neopredmetenih sredstev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50.000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73</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PREJETE DONACIJE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730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Prejete donacije iz domačih virov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731</w:t>
            </w:r>
          </w:p>
        </w:tc>
        <w:tc>
          <w:tcPr>
            <w:tcW w:w="5500" w:type="dxa"/>
            <w:gridSpan w:val="2"/>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Prejete donacije iz tujine</w:t>
            </w:r>
          </w:p>
        </w:tc>
        <w:tc>
          <w:tcPr>
            <w:tcW w:w="1953"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74"/>
        </w:trPr>
        <w:tc>
          <w:tcPr>
            <w:tcW w:w="1582"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74</w:t>
            </w:r>
          </w:p>
        </w:tc>
        <w:tc>
          <w:tcPr>
            <w:tcW w:w="5500" w:type="dxa"/>
            <w:gridSpan w:val="2"/>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TRANSFERNI PRIHODKI</w:t>
            </w:r>
          </w:p>
        </w:tc>
        <w:tc>
          <w:tcPr>
            <w:tcW w:w="1953" w:type="dxa"/>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796.979</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740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Transferni prihodki iz drugih javnofinančnih institucij</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796.979</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741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Prejeta sredstva iz državnega proračuna iz sredstev proračuna Evropske unije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Cs/>
                <w:sz w:val="24"/>
                <w:szCs w:val="24"/>
              </w:rPr>
            </w:pPr>
            <w:r w:rsidRPr="0028603A">
              <w:rPr>
                <w:rFonts w:ascii="Garamond" w:eastAsia="Times New Roman" w:hAnsi="Garamond" w:cs="Tahoma"/>
                <w:bCs/>
                <w:sz w:val="24"/>
                <w:szCs w:val="24"/>
              </w:rPr>
              <w:t> 78</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Cs/>
                <w:sz w:val="24"/>
                <w:szCs w:val="24"/>
              </w:rPr>
            </w:pPr>
            <w:r w:rsidRPr="0028603A">
              <w:rPr>
                <w:rFonts w:ascii="Garamond" w:eastAsia="Times New Roman" w:hAnsi="Garamond" w:cs="Tahoma"/>
                <w:bCs/>
                <w:sz w:val="24"/>
                <w:szCs w:val="24"/>
              </w:rPr>
              <w:t> PREJETA SREDSTVA IZ EVROPSKE UNIJE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Cs/>
                <w:sz w:val="24"/>
                <w:szCs w:val="24"/>
              </w:rPr>
            </w:pPr>
            <w:r w:rsidRPr="0028603A">
              <w:rPr>
                <w:rFonts w:ascii="Garamond" w:eastAsia="Times New Roman" w:hAnsi="Garamond" w:cs="Tahoma"/>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787</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Prejeta sredstva od drugih evropskih institucij</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25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proofErr w:type="spellStart"/>
            <w:r w:rsidRPr="0028603A">
              <w:rPr>
                <w:rFonts w:ascii="Garamond" w:eastAsia="Times New Roman" w:hAnsi="Garamond" w:cs="Tahoma"/>
                <w:sz w:val="24"/>
                <w:szCs w:val="24"/>
              </w:rPr>
              <w:t>II</w:t>
            </w:r>
            <w:proofErr w:type="spellEnd"/>
            <w:r w:rsidRPr="0028603A">
              <w:rPr>
                <w:rFonts w:ascii="Garamond" w:eastAsia="Times New Roman" w:hAnsi="Garamond" w:cs="Tahoma"/>
                <w:sz w:val="24"/>
                <w:szCs w:val="24"/>
              </w:rPr>
              <w:t>. SKUPAJ ODHODKI (40+41+42+43)</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4.816.185</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TEKOČI ODHODKI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1.462.968</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400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Plače in drugi izdatki zaposlenim</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437.103</w:t>
            </w:r>
          </w:p>
        </w:tc>
      </w:tr>
      <w:tr w:rsidR="0028603A" w:rsidRPr="0028603A" w:rsidTr="00794B13">
        <w:trPr>
          <w:trHeight w:val="225"/>
        </w:trPr>
        <w:tc>
          <w:tcPr>
            <w:tcW w:w="1582"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401</w:t>
            </w:r>
          </w:p>
        </w:tc>
        <w:tc>
          <w:tcPr>
            <w:tcW w:w="5500" w:type="dxa"/>
            <w:gridSpan w:val="2"/>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Prispevki delodajalcev za socialno varnost</w:t>
            </w:r>
          </w:p>
        </w:tc>
        <w:tc>
          <w:tcPr>
            <w:tcW w:w="1953" w:type="dxa"/>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64.054</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402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Izdatki za blago in storitve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856.811</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403</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Plačila domačih obresti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409</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Rezerve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105.000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TEKOČI TRANSFERI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1.099.906</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410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Subvencije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411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Transferi posameznikom in gospodinjstvom</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651.700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412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Transferi neprofitnim organizacijam in ustanovam</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130.799</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413</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Drugi tekoči domači transferi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317.407</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414</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Tekoči transferi v tujino</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INVESTICIJSKI ODHODKI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2.035.702</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420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Nakup in gradnja osnovnih sredstev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2.035.702</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43</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INVESTICIJSKI TRANSFERI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217.610</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431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sz w:val="24"/>
                <w:szCs w:val="24"/>
              </w:rPr>
            </w:pPr>
            <w:r w:rsidRPr="0028603A">
              <w:rPr>
                <w:rFonts w:ascii="Garamond" w:eastAsia="Times New Roman" w:hAnsi="Garamond" w:cs="Tahoma"/>
                <w:b/>
                <w:sz w:val="24"/>
                <w:szCs w:val="24"/>
              </w:rPr>
              <w:t>Investicijski transferi pravnim in fizičnim osebam, ki niso proračunski uporabniki</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171.625</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432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sz w:val="24"/>
                <w:szCs w:val="24"/>
              </w:rPr>
            </w:pPr>
            <w:r w:rsidRPr="0028603A">
              <w:rPr>
                <w:rFonts w:ascii="Garamond" w:eastAsia="Times New Roman" w:hAnsi="Garamond" w:cs="Tahoma"/>
                <w:b/>
                <w:sz w:val="24"/>
                <w:szCs w:val="24"/>
              </w:rPr>
              <w:t>investicijski transferi proračunskim uporabnikom</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45.985</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25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proofErr w:type="spellStart"/>
            <w:r w:rsidRPr="0028603A">
              <w:rPr>
                <w:rFonts w:ascii="Garamond" w:eastAsia="Times New Roman" w:hAnsi="Garamond" w:cs="Tahoma"/>
                <w:sz w:val="24"/>
                <w:szCs w:val="24"/>
              </w:rPr>
              <w:t>III</w:t>
            </w:r>
            <w:proofErr w:type="spellEnd"/>
            <w:r w:rsidRPr="0028603A">
              <w:rPr>
                <w:rFonts w:ascii="Garamond" w:eastAsia="Times New Roman" w:hAnsi="Garamond" w:cs="Tahoma"/>
                <w:sz w:val="24"/>
                <w:szCs w:val="24"/>
              </w:rPr>
              <w:t xml:space="preserve">. PRORAČUNSKI PRESEŽEK, </w:t>
            </w:r>
            <w:proofErr w:type="spellStart"/>
            <w:r w:rsidRPr="0028603A">
              <w:rPr>
                <w:rFonts w:ascii="Garamond" w:eastAsia="Times New Roman" w:hAnsi="Garamond" w:cs="Tahoma"/>
                <w:sz w:val="24"/>
                <w:szCs w:val="24"/>
              </w:rPr>
              <w:t>PRIMANKLJAJ</w:t>
            </w:r>
            <w:proofErr w:type="spellEnd"/>
            <w:r w:rsidRPr="0028603A">
              <w:rPr>
                <w:rFonts w:ascii="Garamond" w:eastAsia="Times New Roman" w:hAnsi="Garamond" w:cs="Tahoma"/>
                <w:sz w:val="24"/>
                <w:szCs w:val="24"/>
              </w:rPr>
              <w:t xml:space="preserve"> (I.-</w:t>
            </w:r>
            <w:proofErr w:type="spellStart"/>
            <w:r w:rsidRPr="0028603A">
              <w:rPr>
                <w:rFonts w:ascii="Garamond" w:eastAsia="Times New Roman" w:hAnsi="Garamond" w:cs="Tahoma"/>
                <w:sz w:val="24"/>
                <w:szCs w:val="24"/>
              </w:rPr>
              <w:t>II</w:t>
            </w:r>
            <w:proofErr w:type="spellEnd"/>
            <w:r w:rsidRPr="0028603A">
              <w:rPr>
                <w:rFonts w:ascii="Garamond" w:eastAsia="Times New Roman" w:hAnsi="Garamond" w:cs="Tahoma"/>
                <w:sz w:val="24"/>
                <w:szCs w:val="24"/>
              </w:rPr>
              <w:t>.)</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ind w:left="720"/>
              <w:jc w:val="right"/>
              <w:rPr>
                <w:rFonts w:ascii="Garamond" w:eastAsia="Times New Roman" w:hAnsi="Garamond" w:cs="Tahoma"/>
                <w:sz w:val="24"/>
                <w:szCs w:val="24"/>
              </w:rPr>
            </w:pPr>
            <w:r w:rsidRPr="0028603A">
              <w:rPr>
                <w:rFonts w:ascii="Garamond" w:eastAsia="Times New Roman" w:hAnsi="Garamond" w:cs="Tahoma"/>
                <w:sz w:val="24"/>
                <w:szCs w:val="24"/>
              </w:rPr>
              <w:t>- 125.369</w:t>
            </w: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300"/>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i/>
                <w:iCs/>
                <w:sz w:val="24"/>
                <w:szCs w:val="24"/>
              </w:rPr>
            </w:pPr>
            <w:r w:rsidRPr="0028603A">
              <w:rPr>
                <w:rFonts w:ascii="Garamond" w:eastAsia="Times New Roman" w:hAnsi="Garamond" w:cs="Tahoma"/>
                <w:i/>
                <w:iCs/>
                <w:sz w:val="24"/>
                <w:szCs w:val="24"/>
              </w:rPr>
              <w:t>B.    RAČUN</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Cs/>
                <w:i/>
                <w:sz w:val="24"/>
                <w:szCs w:val="24"/>
              </w:rPr>
            </w:pPr>
            <w:r w:rsidRPr="0028603A">
              <w:rPr>
                <w:rFonts w:ascii="Garamond" w:eastAsia="Times New Roman" w:hAnsi="Garamond" w:cs="Tahoma"/>
                <w:b/>
                <w:bCs/>
                <w:sz w:val="24"/>
                <w:szCs w:val="24"/>
              </w:rPr>
              <w:t> </w:t>
            </w:r>
            <w:r w:rsidRPr="0028603A">
              <w:rPr>
                <w:rFonts w:ascii="Garamond" w:eastAsia="Times New Roman" w:hAnsi="Garamond" w:cs="Tahoma"/>
                <w:bCs/>
                <w:i/>
                <w:sz w:val="24"/>
                <w:szCs w:val="24"/>
              </w:rPr>
              <w:t>FINANČNIH TERJATEV IN NALOŽB</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13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i/>
                <w:iCs/>
                <w:sz w:val="24"/>
                <w:szCs w:val="24"/>
              </w:rPr>
            </w:pPr>
            <w:r w:rsidRPr="0028603A">
              <w:rPr>
                <w:rFonts w:ascii="Garamond" w:eastAsia="Times New Roman" w:hAnsi="Garamond" w:cs="Tahoma"/>
                <w:i/>
                <w:i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510"/>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IV. PREJETA VRAČILA DANIH POSOJIL IN PRODAJA KAPITALSKIH DELEŽEV (750+751+752)</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75</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PREJETA VRAČILA DANIH POSOJIL</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750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Prejeta vračila danih posojil</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751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Prodaja kapitalskih deležev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752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Kupnine iz naslova privatizacije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540"/>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lastRenderedPageBreak/>
              <w:t> </w:t>
            </w:r>
          </w:p>
        </w:tc>
        <w:tc>
          <w:tcPr>
            <w:tcW w:w="5500" w:type="dxa"/>
            <w:gridSpan w:val="2"/>
            <w:tcBorders>
              <w:top w:val="nil"/>
              <w:left w:val="nil"/>
              <w:bottom w:val="single" w:sz="4" w:space="0" w:color="auto"/>
              <w:right w:val="single" w:sz="4" w:space="0" w:color="auto"/>
            </w:tcBorders>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V. DANA POSOJILA IN POVEČANJA KAPITALSKIH DELEŽEV(440+441+442)</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44</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DANA POSOJILA IN POVEČANJE KAPITALSKIH DELEŽEV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440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xml:space="preserve">Dana posojila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441</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Povečanja kapitalskih deležev in naložb</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442</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Poraba sredstev kupnin iz naslova privatizacije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480"/>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VI. PREJETA POSOJILA - DANA POSOJILA IN SPREMEMBE KAPITALSKIH DELEŽEV (IV.-V.)</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i/>
                <w:iCs/>
                <w:sz w:val="24"/>
                <w:szCs w:val="24"/>
              </w:rPr>
            </w:pPr>
            <w:r w:rsidRPr="0028603A">
              <w:rPr>
                <w:rFonts w:ascii="Garamond" w:eastAsia="Times New Roman" w:hAnsi="Garamond" w:cs="Tahoma"/>
                <w:i/>
                <w:iCs/>
                <w:sz w:val="24"/>
                <w:szCs w:val="24"/>
              </w:rPr>
              <w:t>C.    RAČUN</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Cs/>
                <w:i/>
                <w:sz w:val="24"/>
                <w:szCs w:val="24"/>
              </w:rPr>
            </w:pPr>
            <w:r w:rsidRPr="0028603A">
              <w:rPr>
                <w:rFonts w:ascii="Garamond" w:eastAsia="Times New Roman" w:hAnsi="Garamond" w:cs="Tahoma"/>
                <w:b/>
                <w:bCs/>
                <w:sz w:val="24"/>
                <w:szCs w:val="24"/>
              </w:rPr>
              <w:t> </w:t>
            </w:r>
            <w:r w:rsidRPr="0028603A">
              <w:rPr>
                <w:rFonts w:ascii="Garamond" w:eastAsia="Times New Roman" w:hAnsi="Garamond" w:cs="Tahoma"/>
                <w:bCs/>
                <w:i/>
                <w:sz w:val="24"/>
                <w:szCs w:val="24"/>
              </w:rPr>
              <w:t>FINANCIRANJA</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25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proofErr w:type="spellStart"/>
            <w:r w:rsidRPr="0028603A">
              <w:rPr>
                <w:rFonts w:ascii="Garamond" w:eastAsia="Times New Roman" w:hAnsi="Garamond" w:cs="Tahoma"/>
                <w:sz w:val="24"/>
                <w:szCs w:val="24"/>
              </w:rPr>
              <w:t>VII</w:t>
            </w:r>
            <w:proofErr w:type="spellEnd"/>
            <w:r w:rsidRPr="0028603A">
              <w:rPr>
                <w:rFonts w:ascii="Garamond" w:eastAsia="Times New Roman" w:hAnsi="Garamond" w:cs="Tahoma"/>
                <w:sz w:val="24"/>
                <w:szCs w:val="24"/>
              </w:rPr>
              <w:t>. ZADOLŽEVANJE (500)</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50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ZADOLŽEVANJE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500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Domače zadolževanje</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25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proofErr w:type="spellStart"/>
            <w:r w:rsidRPr="0028603A">
              <w:rPr>
                <w:rFonts w:ascii="Garamond" w:eastAsia="Times New Roman" w:hAnsi="Garamond" w:cs="Tahoma"/>
                <w:sz w:val="24"/>
                <w:szCs w:val="24"/>
              </w:rPr>
              <w:t>VIII</w:t>
            </w:r>
            <w:proofErr w:type="spellEnd"/>
            <w:r w:rsidRPr="0028603A">
              <w:rPr>
                <w:rFonts w:ascii="Garamond" w:eastAsia="Times New Roman" w:hAnsi="Garamond" w:cs="Tahoma"/>
                <w:sz w:val="24"/>
                <w:szCs w:val="24"/>
              </w:rPr>
              <w:t>. ODPLAČILA DOLGA (550)</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55</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ODPLAČILA DOLGA</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2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r w:rsidRPr="0028603A">
              <w:rPr>
                <w:rFonts w:ascii="Garamond" w:eastAsia="Times New Roman" w:hAnsi="Garamond" w:cs="Tahoma"/>
                <w:b/>
                <w:bCs/>
                <w:sz w:val="24"/>
                <w:szCs w:val="24"/>
              </w:rPr>
              <w:t>550</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Odplačila domačega dolga</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bCs/>
                <w:sz w:val="24"/>
                <w:szCs w:val="24"/>
              </w:rPr>
            </w:pPr>
          </w:p>
        </w:tc>
      </w:tr>
      <w:tr w:rsidR="0028603A" w:rsidRPr="0028603A" w:rsidTr="00794B13">
        <w:trPr>
          <w:trHeight w:val="13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r>
      <w:tr w:rsidR="0028603A" w:rsidRPr="0028603A" w:rsidTr="00794B13">
        <w:trPr>
          <w:trHeight w:val="585"/>
        </w:trPr>
        <w:tc>
          <w:tcPr>
            <w:tcW w:w="1582"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single" w:sz="4" w:space="0" w:color="auto"/>
              <w:left w:val="single" w:sz="4" w:space="0" w:color="auto"/>
              <w:bottom w:val="single" w:sz="4" w:space="0" w:color="auto"/>
              <w:right w:val="single" w:sz="4" w:space="0" w:color="auto"/>
            </w:tcBorders>
            <w:vAlign w:val="bottom"/>
          </w:tcPr>
          <w:p w:rsidR="0028603A" w:rsidRPr="0028603A" w:rsidRDefault="0028603A" w:rsidP="0028603A">
            <w:pPr>
              <w:spacing w:after="0" w:line="240" w:lineRule="auto"/>
              <w:rPr>
                <w:rFonts w:ascii="Garamond" w:eastAsia="Times New Roman" w:hAnsi="Garamond" w:cs="Tahoma"/>
                <w:sz w:val="24"/>
                <w:szCs w:val="24"/>
              </w:rPr>
            </w:pPr>
            <w:proofErr w:type="spellStart"/>
            <w:r w:rsidRPr="0028603A">
              <w:rPr>
                <w:rFonts w:ascii="Garamond" w:eastAsia="Times New Roman" w:hAnsi="Garamond" w:cs="Tahoma"/>
                <w:sz w:val="24"/>
                <w:szCs w:val="24"/>
              </w:rPr>
              <w:t>IX</w:t>
            </w:r>
            <w:proofErr w:type="spellEnd"/>
            <w:r w:rsidRPr="0028603A">
              <w:rPr>
                <w:rFonts w:ascii="Garamond" w:eastAsia="Times New Roman" w:hAnsi="Garamond" w:cs="Tahoma"/>
                <w:sz w:val="24"/>
                <w:szCs w:val="24"/>
              </w:rPr>
              <w:t>. SPREMEMBA STANJA SREDSTEV NA RAČUNU (I.+IV.+</w:t>
            </w:r>
            <w:proofErr w:type="spellStart"/>
            <w:r w:rsidRPr="0028603A">
              <w:rPr>
                <w:rFonts w:ascii="Garamond" w:eastAsia="Times New Roman" w:hAnsi="Garamond" w:cs="Tahoma"/>
                <w:sz w:val="24"/>
                <w:szCs w:val="24"/>
              </w:rPr>
              <w:t>VII</w:t>
            </w:r>
            <w:proofErr w:type="spellEnd"/>
            <w:r w:rsidRPr="0028603A">
              <w:rPr>
                <w:rFonts w:ascii="Garamond" w:eastAsia="Times New Roman" w:hAnsi="Garamond" w:cs="Tahoma"/>
                <w:sz w:val="24"/>
                <w:szCs w:val="24"/>
              </w:rPr>
              <w:t>.-</w:t>
            </w:r>
            <w:proofErr w:type="spellStart"/>
            <w:r w:rsidRPr="0028603A">
              <w:rPr>
                <w:rFonts w:ascii="Garamond" w:eastAsia="Times New Roman" w:hAnsi="Garamond" w:cs="Tahoma"/>
                <w:sz w:val="24"/>
                <w:szCs w:val="24"/>
              </w:rPr>
              <w:t>II</w:t>
            </w:r>
            <w:proofErr w:type="spellEnd"/>
            <w:r w:rsidRPr="0028603A">
              <w:rPr>
                <w:rFonts w:ascii="Garamond" w:eastAsia="Times New Roman" w:hAnsi="Garamond" w:cs="Tahoma"/>
                <w:sz w:val="24"/>
                <w:szCs w:val="24"/>
              </w:rPr>
              <w:t>.-V.-</w:t>
            </w:r>
            <w:proofErr w:type="spellStart"/>
            <w:r w:rsidRPr="0028603A">
              <w:rPr>
                <w:rFonts w:ascii="Garamond" w:eastAsia="Times New Roman" w:hAnsi="Garamond" w:cs="Tahoma"/>
                <w:sz w:val="24"/>
                <w:szCs w:val="24"/>
              </w:rPr>
              <w:t>VIII</w:t>
            </w:r>
            <w:proofErr w:type="spellEnd"/>
            <w:r w:rsidRPr="0028603A">
              <w:rPr>
                <w:rFonts w:ascii="Garamond" w:eastAsia="Times New Roman" w:hAnsi="Garamond" w:cs="Tahoma"/>
                <w:sz w:val="24"/>
                <w:szCs w:val="24"/>
              </w:rPr>
              <w:t>.)</w:t>
            </w:r>
          </w:p>
        </w:tc>
        <w:tc>
          <w:tcPr>
            <w:tcW w:w="1953"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r w:rsidRPr="0028603A">
              <w:rPr>
                <w:rFonts w:ascii="Garamond" w:eastAsia="Times New Roman" w:hAnsi="Garamond" w:cs="Tahoma"/>
                <w:sz w:val="24"/>
                <w:szCs w:val="24"/>
              </w:rPr>
              <w:t>- 125.369</w:t>
            </w:r>
          </w:p>
        </w:tc>
      </w:tr>
      <w:tr w:rsidR="0028603A" w:rsidRPr="0028603A" w:rsidTr="00794B13">
        <w:trPr>
          <w:trHeight w:val="524"/>
        </w:trPr>
        <w:tc>
          <w:tcPr>
            <w:tcW w:w="1582"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 </w:t>
            </w:r>
          </w:p>
        </w:tc>
        <w:tc>
          <w:tcPr>
            <w:tcW w:w="5500" w:type="dxa"/>
            <w:gridSpan w:val="2"/>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X. NETO ZADOLŽEVANJE (</w:t>
            </w:r>
            <w:proofErr w:type="spellStart"/>
            <w:r w:rsidRPr="0028603A">
              <w:rPr>
                <w:rFonts w:ascii="Garamond" w:eastAsia="Times New Roman" w:hAnsi="Garamond" w:cs="Tahoma"/>
                <w:sz w:val="24"/>
                <w:szCs w:val="24"/>
              </w:rPr>
              <w:t>VII</w:t>
            </w:r>
            <w:proofErr w:type="spellEnd"/>
            <w:r w:rsidRPr="0028603A">
              <w:rPr>
                <w:rFonts w:ascii="Garamond" w:eastAsia="Times New Roman" w:hAnsi="Garamond" w:cs="Tahoma"/>
                <w:sz w:val="24"/>
                <w:szCs w:val="24"/>
              </w:rPr>
              <w:t>.-</w:t>
            </w:r>
            <w:proofErr w:type="spellStart"/>
            <w:r w:rsidRPr="0028603A">
              <w:rPr>
                <w:rFonts w:ascii="Garamond" w:eastAsia="Times New Roman" w:hAnsi="Garamond" w:cs="Tahoma"/>
                <w:sz w:val="24"/>
                <w:szCs w:val="24"/>
              </w:rPr>
              <w:t>VIII</w:t>
            </w:r>
            <w:proofErr w:type="spellEnd"/>
            <w:r w:rsidRPr="0028603A">
              <w:rPr>
                <w:rFonts w:ascii="Garamond" w:eastAsia="Times New Roman" w:hAnsi="Garamond" w:cs="Tahoma"/>
                <w:sz w:val="24"/>
                <w:szCs w:val="24"/>
              </w:rPr>
              <w:t>.)</w:t>
            </w:r>
          </w:p>
        </w:tc>
        <w:tc>
          <w:tcPr>
            <w:tcW w:w="1953" w:type="dxa"/>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sz w:val="24"/>
                <w:szCs w:val="24"/>
              </w:rPr>
            </w:pPr>
          </w:p>
        </w:tc>
      </w:tr>
      <w:tr w:rsidR="0028603A" w:rsidRPr="0028603A" w:rsidTr="00794B13">
        <w:trPr>
          <w:trHeight w:val="255"/>
        </w:trPr>
        <w:tc>
          <w:tcPr>
            <w:tcW w:w="1582" w:type="dxa"/>
            <w:tcBorders>
              <w:top w:val="nil"/>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r w:rsidRPr="0028603A">
              <w:rPr>
                <w:rFonts w:ascii="Garamond" w:eastAsia="Times New Roman" w:hAnsi="Garamond" w:cs="Tahoma"/>
                <w:b/>
                <w:bCs/>
                <w:sz w:val="24"/>
                <w:szCs w:val="24"/>
              </w:rPr>
              <w:t> </w:t>
            </w:r>
          </w:p>
        </w:tc>
        <w:tc>
          <w:tcPr>
            <w:tcW w:w="5500" w:type="dxa"/>
            <w:gridSpan w:val="2"/>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sz w:val="24"/>
                <w:szCs w:val="24"/>
              </w:rPr>
            </w:pPr>
            <w:proofErr w:type="spellStart"/>
            <w:r w:rsidRPr="0028603A">
              <w:rPr>
                <w:rFonts w:ascii="Garamond" w:eastAsia="Times New Roman" w:hAnsi="Garamond" w:cs="Tahoma"/>
                <w:sz w:val="24"/>
                <w:szCs w:val="24"/>
              </w:rPr>
              <w:t>XI</w:t>
            </w:r>
            <w:proofErr w:type="spellEnd"/>
            <w:r w:rsidRPr="0028603A">
              <w:rPr>
                <w:rFonts w:ascii="Garamond" w:eastAsia="Times New Roman" w:hAnsi="Garamond" w:cs="Tahoma"/>
                <w:sz w:val="24"/>
                <w:szCs w:val="24"/>
              </w:rPr>
              <w:t>. NETO FINANCIRANJE (VI.+</w:t>
            </w:r>
            <w:proofErr w:type="spellStart"/>
            <w:r w:rsidRPr="0028603A">
              <w:rPr>
                <w:rFonts w:ascii="Garamond" w:eastAsia="Times New Roman" w:hAnsi="Garamond" w:cs="Tahoma"/>
                <w:sz w:val="24"/>
                <w:szCs w:val="24"/>
              </w:rPr>
              <w:t>VII</w:t>
            </w:r>
            <w:proofErr w:type="spellEnd"/>
            <w:r w:rsidRPr="0028603A">
              <w:rPr>
                <w:rFonts w:ascii="Garamond" w:eastAsia="Times New Roman" w:hAnsi="Garamond" w:cs="Tahoma"/>
                <w:sz w:val="24"/>
                <w:szCs w:val="24"/>
              </w:rPr>
              <w:t>.-</w:t>
            </w:r>
            <w:proofErr w:type="spellStart"/>
            <w:r w:rsidRPr="0028603A">
              <w:rPr>
                <w:rFonts w:ascii="Garamond" w:eastAsia="Times New Roman" w:hAnsi="Garamond" w:cs="Tahoma"/>
                <w:sz w:val="24"/>
                <w:szCs w:val="24"/>
              </w:rPr>
              <w:t>VIII</w:t>
            </w:r>
            <w:proofErr w:type="spellEnd"/>
            <w:r w:rsidRPr="0028603A">
              <w:rPr>
                <w:rFonts w:ascii="Garamond" w:eastAsia="Times New Roman" w:hAnsi="Garamond" w:cs="Tahoma"/>
                <w:sz w:val="24"/>
                <w:szCs w:val="24"/>
              </w:rPr>
              <w:t>.-</w:t>
            </w:r>
            <w:proofErr w:type="spellStart"/>
            <w:r w:rsidRPr="0028603A">
              <w:rPr>
                <w:rFonts w:ascii="Garamond" w:eastAsia="Times New Roman" w:hAnsi="Garamond" w:cs="Tahoma"/>
                <w:sz w:val="24"/>
                <w:szCs w:val="24"/>
              </w:rPr>
              <w:t>IX</w:t>
            </w:r>
            <w:proofErr w:type="spellEnd"/>
            <w:r w:rsidRPr="0028603A">
              <w:rPr>
                <w:rFonts w:ascii="Garamond" w:eastAsia="Times New Roman" w:hAnsi="Garamond" w:cs="Tahoma"/>
                <w:sz w:val="24"/>
                <w:szCs w:val="24"/>
              </w:rPr>
              <w:t>.)</w:t>
            </w:r>
          </w:p>
        </w:tc>
        <w:tc>
          <w:tcPr>
            <w:tcW w:w="1953" w:type="dxa"/>
            <w:tcBorders>
              <w:top w:val="nil"/>
              <w:left w:val="nil"/>
              <w:bottom w:val="single" w:sz="4" w:space="0" w:color="auto"/>
              <w:right w:val="single" w:sz="4" w:space="0" w:color="auto"/>
            </w:tcBorders>
            <w:noWrap/>
            <w:vAlign w:val="bottom"/>
          </w:tcPr>
          <w:p w:rsidR="0028603A" w:rsidRPr="0028603A" w:rsidRDefault="0028603A" w:rsidP="0028603A">
            <w:pPr>
              <w:spacing w:after="0" w:line="240" w:lineRule="auto"/>
              <w:ind w:left="1080"/>
              <w:contextualSpacing/>
              <w:jc w:val="right"/>
              <w:rPr>
                <w:rFonts w:ascii="Garamond" w:eastAsia="Times New Roman" w:hAnsi="Garamond" w:cs="Tahoma"/>
                <w:sz w:val="24"/>
                <w:szCs w:val="24"/>
              </w:rPr>
            </w:pPr>
            <w:r w:rsidRPr="0028603A">
              <w:rPr>
                <w:rFonts w:ascii="Garamond" w:eastAsia="Times New Roman" w:hAnsi="Garamond" w:cs="Tahoma"/>
                <w:sz w:val="24"/>
                <w:szCs w:val="24"/>
              </w:rPr>
              <w:t>125.369</w:t>
            </w:r>
          </w:p>
        </w:tc>
      </w:tr>
      <w:tr w:rsidR="0028603A" w:rsidRPr="0028603A" w:rsidTr="00794B13">
        <w:trPr>
          <w:trHeight w:val="502"/>
        </w:trPr>
        <w:tc>
          <w:tcPr>
            <w:tcW w:w="1582" w:type="dxa"/>
            <w:tcBorders>
              <w:top w:val="single" w:sz="4" w:space="0" w:color="auto"/>
              <w:left w:val="single" w:sz="4" w:space="0" w:color="auto"/>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bCs/>
                <w:sz w:val="24"/>
                <w:szCs w:val="24"/>
              </w:rPr>
            </w:pPr>
          </w:p>
        </w:tc>
        <w:tc>
          <w:tcPr>
            <w:tcW w:w="5500" w:type="dxa"/>
            <w:gridSpan w:val="2"/>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rPr>
                <w:rFonts w:ascii="Garamond" w:eastAsia="Times New Roman" w:hAnsi="Garamond" w:cs="Tahoma"/>
                <w:b/>
                <w:sz w:val="24"/>
                <w:szCs w:val="24"/>
              </w:rPr>
            </w:pPr>
            <w:r w:rsidRPr="0028603A">
              <w:rPr>
                <w:rFonts w:ascii="Garamond" w:eastAsia="Times New Roman" w:hAnsi="Garamond" w:cs="Tahoma"/>
                <w:b/>
                <w:sz w:val="24"/>
                <w:szCs w:val="24"/>
              </w:rPr>
              <w:t>STANJE SREDSTEV NA RAČUNIH NA DAN 31.12.2014</w:t>
            </w:r>
          </w:p>
        </w:tc>
        <w:tc>
          <w:tcPr>
            <w:tcW w:w="1953" w:type="dxa"/>
            <w:tcBorders>
              <w:top w:val="single" w:sz="4" w:space="0" w:color="auto"/>
              <w:left w:val="nil"/>
              <w:bottom w:val="single" w:sz="4" w:space="0" w:color="auto"/>
              <w:right w:val="single" w:sz="4" w:space="0" w:color="auto"/>
            </w:tcBorders>
            <w:noWrap/>
            <w:vAlign w:val="bottom"/>
          </w:tcPr>
          <w:p w:rsidR="0028603A" w:rsidRPr="0028603A" w:rsidRDefault="0028603A" w:rsidP="0028603A">
            <w:pPr>
              <w:spacing w:after="0" w:line="240" w:lineRule="auto"/>
              <w:jc w:val="right"/>
              <w:rPr>
                <w:rFonts w:ascii="Garamond" w:eastAsia="Times New Roman" w:hAnsi="Garamond" w:cs="Tahoma"/>
                <w:b/>
                <w:sz w:val="24"/>
                <w:szCs w:val="24"/>
              </w:rPr>
            </w:pPr>
            <w:r w:rsidRPr="0028603A">
              <w:rPr>
                <w:rFonts w:ascii="Garamond" w:eastAsia="Times New Roman" w:hAnsi="Garamond" w:cs="Tahoma"/>
                <w:b/>
                <w:sz w:val="24"/>
                <w:szCs w:val="24"/>
              </w:rPr>
              <w:t>2.137.277</w:t>
            </w:r>
          </w:p>
        </w:tc>
      </w:tr>
    </w:tbl>
    <w:p w:rsidR="0028603A" w:rsidRPr="0028603A" w:rsidRDefault="0028603A" w:rsidP="0028603A">
      <w:pPr>
        <w:tabs>
          <w:tab w:val="left" w:pos="-1080"/>
          <w:tab w:val="left" w:pos="-720"/>
          <w:tab w:val="left" w:pos="0"/>
          <w:tab w:val="left" w:pos="810"/>
        </w:tabs>
        <w:spacing w:after="0" w:line="240" w:lineRule="auto"/>
        <w:rPr>
          <w:rFonts w:ascii="Garamond" w:eastAsia="Times New Roman" w:hAnsi="Garamond" w:cs="Arial"/>
          <w:sz w:val="24"/>
          <w:szCs w:val="24"/>
          <w:lang w:val="es-ES"/>
        </w:rPr>
      </w:pPr>
    </w:p>
    <w:p w:rsidR="0028603A" w:rsidRPr="0028603A" w:rsidRDefault="0028603A" w:rsidP="0028603A">
      <w:pPr>
        <w:tabs>
          <w:tab w:val="left" w:pos="-1080"/>
          <w:tab w:val="left" w:pos="-720"/>
          <w:tab w:val="left" w:pos="0"/>
          <w:tab w:val="left" w:pos="810"/>
        </w:tabs>
        <w:spacing w:after="0" w:line="240" w:lineRule="auto"/>
        <w:rPr>
          <w:rFonts w:ascii="Garamond" w:eastAsia="Times New Roman" w:hAnsi="Garamond" w:cs="Arial"/>
          <w:b/>
          <w:sz w:val="24"/>
          <w:szCs w:val="24"/>
          <w:lang w:val="es-ES"/>
        </w:rPr>
      </w:pPr>
      <w:r w:rsidRPr="0028603A">
        <w:rPr>
          <w:rFonts w:ascii="Garamond" w:eastAsia="Times New Roman" w:hAnsi="Garamond" w:cs="Arial"/>
          <w:b/>
          <w:sz w:val="24"/>
          <w:szCs w:val="24"/>
          <w:lang w:val="es-ES"/>
        </w:rPr>
        <w:tab/>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Posebni del proračuna sestavljajo finančni načrti neposrednih uporabnikov, ki so razdeljeni na naslednje programske dele: področja proračunske porabe (</w:t>
      </w:r>
      <w:proofErr w:type="spellStart"/>
      <w:r w:rsidRPr="0028603A">
        <w:rPr>
          <w:rFonts w:ascii="Garamond" w:eastAsia="Times New Roman" w:hAnsi="Garamond" w:cs="Arial"/>
          <w:sz w:val="24"/>
          <w:szCs w:val="24"/>
        </w:rPr>
        <w:t>PPP</w:t>
      </w:r>
      <w:proofErr w:type="spellEnd"/>
      <w:r w:rsidRPr="0028603A">
        <w:rPr>
          <w:rFonts w:ascii="Garamond" w:eastAsia="Times New Roman" w:hAnsi="Garamond" w:cs="Arial"/>
          <w:sz w:val="24"/>
          <w:szCs w:val="24"/>
        </w:rPr>
        <w:t>), glavne programe (</w:t>
      </w:r>
      <w:proofErr w:type="spellStart"/>
      <w:r w:rsidRPr="0028603A">
        <w:rPr>
          <w:rFonts w:ascii="Garamond" w:eastAsia="Times New Roman" w:hAnsi="Garamond" w:cs="Arial"/>
          <w:sz w:val="24"/>
          <w:szCs w:val="24"/>
        </w:rPr>
        <w:t>GPR</w:t>
      </w:r>
      <w:proofErr w:type="spellEnd"/>
      <w:r w:rsidRPr="0028603A">
        <w:rPr>
          <w:rFonts w:ascii="Garamond" w:eastAsia="Times New Roman" w:hAnsi="Garamond" w:cs="Arial"/>
          <w:sz w:val="24"/>
          <w:szCs w:val="24"/>
        </w:rPr>
        <w:t>) in podprograme (</w:t>
      </w:r>
      <w:proofErr w:type="spellStart"/>
      <w:r w:rsidRPr="0028603A">
        <w:rPr>
          <w:rFonts w:ascii="Garamond" w:eastAsia="Times New Roman" w:hAnsi="Garamond" w:cs="Arial"/>
          <w:sz w:val="24"/>
          <w:szCs w:val="24"/>
        </w:rPr>
        <w:t>PPR</w:t>
      </w:r>
      <w:proofErr w:type="spellEnd"/>
      <w:r w:rsidRPr="0028603A">
        <w:rPr>
          <w:rFonts w:ascii="Garamond" w:eastAsia="Times New Roman" w:hAnsi="Garamond" w:cs="Arial"/>
          <w:sz w:val="24"/>
          <w:szCs w:val="24"/>
        </w:rPr>
        <w:t>), predpisane s programsko klasifikacijo izdatkov občinskih proračunov. Podprogram je razdeljen na proračunske postavke (</w:t>
      </w:r>
      <w:proofErr w:type="spellStart"/>
      <w:r w:rsidRPr="0028603A">
        <w:rPr>
          <w:rFonts w:ascii="Garamond" w:eastAsia="Times New Roman" w:hAnsi="Garamond" w:cs="Arial"/>
          <w:sz w:val="24"/>
          <w:szCs w:val="24"/>
        </w:rPr>
        <w:t>PP</w:t>
      </w:r>
      <w:proofErr w:type="spellEnd"/>
      <w:r w:rsidRPr="0028603A">
        <w:rPr>
          <w:rFonts w:ascii="Garamond" w:eastAsia="Times New Roman" w:hAnsi="Garamond" w:cs="Arial"/>
          <w:sz w:val="24"/>
          <w:szCs w:val="24"/>
        </w:rPr>
        <w:t>), te pa na podskupine kontov in konte določene s predpisanim kontnim načrtom.</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Posebni del proračuna do ravni proračunskih postavk-podskupin kontov in načrt razvojnih programov sta prilogi k temu odloku in se objavita na spletni strani Občine Trzin.  </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28603A">
        <w:rPr>
          <w:rFonts w:ascii="Garamond" w:eastAsia="Times New Roman" w:hAnsi="Garamond" w:cs="Arial"/>
          <w:b/>
          <w:sz w:val="24"/>
          <w:szCs w:val="24"/>
        </w:rPr>
        <w:t>3. POSTOPKI IZVRŠEVANJA PRORAČUNA</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3.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 (izvrševanje proračuna)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28603A">
        <w:rPr>
          <w:rFonts w:ascii="Garamond" w:eastAsia="Times New Roman" w:hAnsi="Garamond" w:cs="Arial"/>
          <w:sz w:val="24"/>
          <w:szCs w:val="24"/>
        </w:rPr>
        <w:t xml:space="preserve">Proračun se izvršuje na ravni proračunske postavke- </w:t>
      </w:r>
      <w:proofErr w:type="spellStart"/>
      <w:r w:rsidRPr="0028603A">
        <w:rPr>
          <w:rFonts w:ascii="Garamond" w:eastAsia="Times New Roman" w:hAnsi="Garamond" w:cs="Arial"/>
          <w:sz w:val="24"/>
          <w:szCs w:val="24"/>
        </w:rPr>
        <w:t>podkonta</w:t>
      </w:r>
      <w:proofErr w:type="spellEnd"/>
      <w:r w:rsidRPr="0028603A">
        <w:rPr>
          <w:rFonts w:ascii="Garamond" w:eastAsia="Times New Roman" w:hAnsi="Garamond" w:cs="Arial"/>
          <w:sz w:val="24"/>
          <w:szCs w:val="24"/>
        </w:rPr>
        <w:t xml:space="preserve">.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4. člen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(namenski prihodki in odhodki proračuna)</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Namenski prihodki proračuna so poleg prihodkov, določenih v prvem stavku prvega odstavka 43. člena Zakona o javnih financah, tudi naslednji prihodki:</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lastRenderedPageBreak/>
        <w:t>prihodki požarne takse po 58. členu Zakona o varstvu pred požarom (ZVPoz), ki se uporabijo za namene, določene v tem zakonu;</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pristojbina za vzdrževanje gozdnih cest, ki se uporabi za namene, določene z zakonom,</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 xml:space="preserve">prihodek od turistične takse, ki se uporabi za namene, določene z zakonom,  </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prihodki od prodaje ali zamenjave občinskega stvarnega premoženja,</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odškodnine iz naslova zavarovanj,</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prihodki iz naslova vračila telekomunikacijskih sredstev, ki so namenjeni za vlaganja v telekomunikacijsko in informacijsko infrastrukturo,</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prihodki iz naslova najemnine Doma starejših Trzin, ki so namenjeni investicijskemu vzdrževanju Doma starejših Trzin,</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 xml:space="preserve">prihodki od najemnin </w:t>
      </w:r>
      <w:proofErr w:type="spellStart"/>
      <w:r w:rsidRPr="0028603A">
        <w:rPr>
          <w:rFonts w:ascii="Garamond" w:eastAsia="Times New Roman" w:hAnsi="Garamond" w:cs="Arial"/>
          <w:sz w:val="24"/>
          <w:szCs w:val="24"/>
        </w:rPr>
        <w:t>JKP</w:t>
      </w:r>
      <w:proofErr w:type="spellEnd"/>
      <w:r w:rsidRPr="0028603A">
        <w:rPr>
          <w:rFonts w:ascii="Garamond" w:eastAsia="Times New Roman" w:hAnsi="Garamond" w:cs="Arial"/>
          <w:sz w:val="24"/>
          <w:szCs w:val="24"/>
        </w:rPr>
        <w:t xml:space="preserve"> Prodnik d.o.o., ki so namenjeni investicijskemu vzdrževanju vodovoda in druge komunalne infrastrukture,</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 xml:space="preserve">prihodki od najemnin </w:t>
      </w:r>
      <w:proofErr w:type="spellStart"/>
      <w:r w:rsidRPr="0028603A">
        <w:rPr>
          <w:rFonts w:ascii="Garamond" w:eastAsia="Times New Roman" w:hAnsi="Garamond" w:cs="Arial"/>
          <w:sz w:val="24"/>
          <w:szCs w:val="24"/>
        </w:rPr>
        <w:t>JP</w:t>
      </w:r>
      <w:proofErr w:type="spellEnd"/>
      <w:r w:rsidRPr="0028603A">
        <w:rPr>
          <w:rFonts w:ascii="Garamond" w:eastAsia="Times New Roman" w:hAnsi="Garamond" w:cs="Arial"/>
          <w:sz w:val="24"/>
          <w:szCs w:val="24"/>
        </w:rPr>
        <w:t xml:space="preserve"> </w:t>
      </w:r>
      <w:proofErr w:type="spellStart"/>
      <w:r w:rsidRPr="0028603A">
        <w:rPr>
          <w:rFonts w:ascii="Garamond" w:eastAsia="Times New Roman" w:hAnsi="Garamond" w:cs="Arial"/>
          <w:sz w:val="24"/>
          <w:szCs w:val="24"/>
        </w:rPr>
        <w:t>CČN</w:t>
      </w:r>
      <w:proofErr w:type="spellEnd"/>
      <w:r w:rsidRPr="0028603A">
        <w:rPr>
          <w:rFonts w:ascii="Garamond" w:eastAsia="Times New Roman" w:hAnsi="Garamond" w:cs="Arial"/>
          <w:sz w:val="24"/>
          <w:szCs w:val="24"/>
        </w:rPr>
        <w:t xml:space="preserve"> Domžale-Kamnik, ki so namenjeni investicijskemu vzdrževanju skupnih objektov in naprav za čiščenje in odvajanje odpadnih voda,</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prihodki iz naslova koncesij za trajnostno gospodarjenje z divjadjo,</w:t>
      </w:r>
    </w:p>
    <w:p w:rsidR="0028603A" w:rsidRPr="0028603A" w:rsidRDefault="0028603A" w:rsidP="0028603A">
      <w:pPr>
        <w:numPr>
          <w:ilvl w:val="0"/>
          <w:numId w:val="5"/>
        </w:numPr>
        <w:tabs>
          <w:tab w:val="left" w:pos="-1080"/>
          <w:tab w:val="left" w:pos="-720"/>
          <w:tab w:val="left" w:pos="0"/>
          <w:tab w:val="left" w:pos="810"/>
          <w:tab w:val="left" w:pos="1080"/>
        </w:tabs>
        <w:spacing w:after="0" w:line="240" w:lineRule="auto"/>
        <w:contextualSpacing/>
        <w:jc w:val="both"/>
        <w:rPr>
          <w:rFonts w:ascii="Garamond" w:eastAsia="Times New Roman" w:hAnsi="Garamond" w:cs="Arial"/>
          <w:sz w:val="24"/>
          <w:szCs w:val="24"/>
        </w:rPr>
      </w:pPr>
      <w:r w:rsidRPr="0028603A">
        <w:rPr>
          <w:rFonts w:ascii="Garamond" w:eastAsia="Times New Roman" w:hAnsi="Garamond" w:cs="Arial"/>
          <w:sz w:val="24"/>
          <w:szCs w:val="24"/>
        </w:rPr>
        <w:t>morebitne donacije občini in sponzorstva.</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5.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(dodatno pridobljena namenska sredstva)</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Če se med letom v proračunu zagotovijo namenska sredstva, ki v prvotnem proračunu niso bila predvidena, se sredstva razporedijo na postavko, za katero so bila smiselno pridobljena ali pa se na predlog predlagatelja finančnega načrta odpre nova postavka.</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Obveznosti v breme sredstev iz prvega odstavka tega člena, se lahko prevzamejo le, če so sredstva že nakazana v proračun, ali pa je izdan sklep ali odločba pristojnega organa in podpisana pogodba o dodelitvi sredstev.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6. člen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(prerazporejanje pravic porabe)</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Osnova za prerazporejanje pravic porabe je zadnji sprejeti proračun, spremembe proračuna ali rebalans proračuna.</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Prerazporeditve v finančnih načrtih neposrednih uporabnikov se izvajajo na ravni proračunske postavke- </w:t>
      </w:r>
      <w:proofErr w:type="spellStart"/>
      <w:r w:rsidRPr="0028603A">
        <w:rPr>
          <w:rFonts w:ascii="Garamond" w:eastAsia="Times New Roman" w:hAnsi="Garamond" w:cs="Arial"/>
          <w:sz w:val="24"/>
          <w:szCs w:val="24"/>
        </w:rPr>
        <w:t>podkontov</w:t>
      </w:r>
      <w:proofErr w:type="spellEnd"/>
      <w:r w:rsidRPr="0028603A">
        <w:rPr>
          <w:rFonts w:ascii="Garamond" w:eastAsia="Times New Roman" w:hAnsi="Garamond" w:cs="Arial"/>
          <w:sz w:val="24"/>
          <w:szCs w:val="24"/>
        </w:rPr>
        <w:t>.</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Tahoma"/>
          <w:sz w:val="24"/>
          <w:szCs w:val="24"/>
        </w:rPr>
        <w:t>O prerazporeditvah pravic porabe v posebnem delu proračuna (finančnem načrtu neposrednega uporabnika) med glavnimi programi v okviru posameznega področja proračunske porabe odloča na predlog neposrednega uporabnika župan.</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Obsežnejše prerazporeditve pravic porabe oziroma spremembe proračuna se na predlog župana izvedejo z rebalansom proračuna, ki ga sprejme občinski svet. </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7. člen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(poročanje o izvrševanju proračuna)</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Župan o izvrševanju in realizaciji proračuna v prvi polovici leta poroča občinskemu svetu praviloma v mesecu juliju, konec leta oziroma z zaključnim računom pa o celoletnem izvrševanju in realizaciji proračuna v preteklem letu. </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lastRenderedPageBreak/>
        <w:t>8.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(prevzemanje obveznosti za večletne naložbe)</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Neposredni uporabnik lahko v tekočem letu razpiše javno naročilo za celotno vrednost projekta, ki je vključen v načrt razvojnih programov, če so zanj načrtovane pravice porabe na proračunskih postavkah v sprejetem proračunu.</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 xml:space="preserve">Neposredni uporabnik lahko v letu 2015 prevzame obveznosti za namene, za katere so načrtovane pravice porabe v letu 2015 in ki zapadejo v plačilo v letu 2016 v višini 60 odstotkov obsega pravice porabe na podskupinah kontov znotraj podprograma, načrtovanih v proračunu za leto 2015. V letu 2015 lahko neposredni uporabnik prevzame obveznosti, ki zapadejo v plačilo v letu 2017, do višine 40 odstotkov obsega pravic porabe, za namene, ki so načrtovani v proračunu za leto 2015 po podskupinah kontov znotraj podprograma. </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Omejitve iz prvega in drugega odstavka tega člena ne veljajo za prevzemanje obveznosti z najemnimi pogodbami, razen če na podlagi teh pogodb lastninska pravica preide oziroma lahko preide iz najemodajalca na najemnika, za prevzemanje obveznosti za dobavo elektrike, telefona, vode, komunalnih  in drugih storitev, potrebnih za operativno delovanje neposrednih uporabnikov ter pogodbe, ki se financirajo iz namenskih sredstev EU.</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Prevzete obveznosti iz drugega in tretjega odstavka tega člena se načrtujejo v finančnem načrtu neposrednega uporabnika in načrtu razvojnih programov.</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9.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Tahoma"/>
          <w:sz w:val="24"/>
          <w:szCs w:val="24"/>
        </w:rPr>
      </w:pPr>
      <w:r w:rsidRPr="0028603A">
        <w:rPr>
          <w:rFonts w:ascii="Garamond" w:eastAsia="Times New Roman" w:hAnsi="Garamond" w:cs="Tahoma"/>
          <w:sz w:val="24"/>
          <w:szCs w:val="24"/>
        </w:rPr>
        <w:t>(spreminjanje načrta razvojnih programov)</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Predstojnik neposrednega uporabnika lahko spreminja vrednost projektov v načrtu razvojnih programov. Projekte, katerih vrednost se spremeni za več kot 20% mora predhodno potrditi občinski svet.</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Projekti, za katere se zaradi prenosa plačil v tekoče leto, zaključek financiranja prestavi iz predhodnega v tekoče leto, se uvrstijo v načrt razvojnih programov po uveljavitvi proračuna.</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Novi projekti se uvrstijo v načrt razvojnih programov na podlagi odločitve občinskega sveta.</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10.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(proračunski skladi)</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Proračunski skladi so:</w:t>
      </w:r>
    </w:p>
    <w:p w:rsidR="0028603A" w:rsidRPr="0028603A" w:rsidRDefault="0028603A" w:rsidP="0028603A">
      <w:pPr>
        <w:numPr>
          <w:ilvl w:val="0"/>
          <w:numId w:val="4"/>
        </w:num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račun proračunske rezerve, oblikovane po 49. členu ZJF</w:t>
      </w:r>
    </w:p>
    <w:p w:rsidR="0028603A" w:rsidRPr="0028603A" w:rsidRDefault="0028603A" w:rsidP="0028603A">
      <w:pPr>
        <w:tabs>
          <w:tab w:val="left" w:pos="-1080"/>
          <w:tab w:val="left" w:pos="-720"/>
          <w:tab w:val="left" w:pos="0"/>
        </w:tabs>
        <w:spacing w:after="0" w:line="240" w:lineRule="auto"/>
        <w:rPr>
          <w:rFonts w:ascii="Garamond" w:eastAsia="Times New Roman" w:hAnsi="Garamond" w:cs="Tahoma"/>
          <w:sz w:val="24"/>
          <w:szCs w:val="24"/>
        </w:rPr>
      </w:pPr>
      <w:r w:rsidRPr="0028603A">
        <w:rPr>
          <w:rFonts w:ascii="Garamond" w:eastAsia="Times New Roman" w:hAnsi="Garamond" w:cs="Tahoma"/>
          <w:sz w:val="24"/>
          <w:szCs w:val="24"/>
        </w:rPr>
        <w:t>Proračunska rezerva se v letu 2015 oblikuje v višini 20.000 evrov.</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Tahoma"/>
          <w:sz w:val="24"/>
          <w:szCs w:val="24"/>
        </w:rPr>
        <w:t xml:space="preserve">Na predlog za finance pristojnega organa občinske uprave odloča o uporabi sredstev proračunske rezerve za namene iz drugega odstavka 49. člena ZJF do višine 20.000 evrov </w:t>
      </w:r>
      <w:r w:rsidRPr="0028603A">
        <w:rPr>
          <w:rFonts w:ascii="Garamond" w:eastAsia="Times New Roman" w:hAnsi="Garamond" w:cs="Arial"/>
          <w:sz w:val="24"/>
          <w:szCs w:val="24"/>
        </w:rPr>
        <w:t xml:space="preserve">župan in o porabi sredstev obvešča občinski svet v okviru rednih poročil o izvrševanju proračuna.  </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11. člen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(splošna proračunska rezervacija)</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V proračunu se do višine določene v posebnem delu, zagotovijo sredstva splošne proračunske rezervacije, ki je namenjena financiranju nepredvidenih odhodkov, ki jih ob sprejemu proračuna ni bilo mogoče predvideti ali zanje ni bilo mogoče predvideti zadostnih sredstev.</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lastRenderedPageBreak/>
        <w:t>Sredstva proračunske rezervacije ne smejo presegati 2,0 % prihodkov iz bilance prihodkov in odhodkov.</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Tahoma"/>
          <w:sz w:val="24"/>
          <w:szCs w:val="24"/>
        </w:rPr>
      </w:pPr>
      <w:r w:rsidRPr="0028603A">
        <w:rPr>
          <w:rFonts w:ascii="Garamond" w:eastAsia="Times New Roman" w:hAnsi="Garamond" w:cs="Tahoma"/>
          <w:sz w:val="24"/>
          <w:szCs w:val="24"/>
        </w:rPr>
        <w:t>O uporabi sredstev proračunske rezervacije, ki se oblikuje v višini 85.000 evrov odloča župan in o porabi sredstev obvešča občinski svet v skladu z zakonom.</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Tahoma"/>
          <w:sz w:val="24"/>
          <w:szCs w:val="24"/>
        </w:rPr>
      </w:pP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28603A">
        <w:rPr>
          <w:rFonts w:ascii="Garamond" w:eastAsia="Times New Roman" w:hAnsi="Garamond" w:cs="Arial"/>
          <w:b/>
          <w:sz w:val="24"/>
          <w:szCs w:val="24"/>
        </w:rPr>
        <w:t>4. POSEBNOSTI UPRAVLJANJA IN PRODAJE STVARNEGA IN FINANČNEGA PREMOŽENJA OBČINE</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12.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(odpis manjšega dolga)</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Če so izpolnjeni pogoji iz tretjega odstavka 77. člena ZJF, lahko župan dolžniku do višine 500 EUR  odpiše oziroma delno odpiše plačilo dolga.</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13. člen </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(upravljanje prostih denarnih sredstev)</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r w:rsidRPr="0028603A">
        <w:rPr>
          <w:rFonts w:ascii="Garamond" w:eastAsia="Times New Roman" w:hAnsi="Garamond" w:cs="Arial"/>
          <w:sz w:val="24"/>
          <w:szCs w:val="24"/>
        </w:rPr>
        <w:t>S prostimi denarnimi sredstvi na računih upravlja župan.</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 xml:space="preserve">14. člen </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 xml:space="preserve">Načrt ravnanja z nepremičnim premoženjem občine pod vrednostjo 10.000 EUR v posameznem primeru razpolaganja oziroma pridobivanja nepremičnine, sprejme župan. </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Načrt ravnanja s premičnim premoženjem sprejme župan.</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Calibri"/>
          <w:sz w:val="24"/>
          <w:szCs w:val="24"/>
        </w:rPr>
        <w:t>V primeru spremenjenih prostorskih potreb občine, ki jih ni bilo mogoče določiti ob pripravi načrta ravnanja z nepremičnim premoženjem ali ob nepredvidenih okoliščinah na trgu, ki narekujejo hiter odziv, lahko župan oz. upravljavci nepremičnega premoženja občine sklepajo pravne posle, ki niso predvideni v veljavnem načrtu ravnanja z nepremičnim premoženjem. Višino sredstev določi občinski svet s posebnim sklepom.</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28603A">
        <w:rPr>
          <w:rFonts w:ascii="Garamond" w:eastAsia="Times New Roman" w:hAnsi="Garamond" w:cs="Arial"/>
          <w:b/>
          <w:sz w:val="24"/>
          <w:szCs w:val="24"/>
        </w:rPr>
        <w:t>5. OBSEG ZADOLŽEVANJA IN POROŠTEV OBČINE IN JAVNEGA SEKTORJA</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15.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(zadolževanje občine in proračunskih uporabnikov ter javnih podjetij)</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spacing w:after="0" w:line="240" w:lineRule="auto"/>
        <w:jc w:val="both"/>
        <w:rPr>
          <w:rFonts w:ascii="Garamond" w:eastAsia="Times New Roman" w:hAnsi="Garamond" w:cs="Times New Roman"/>
          <w:b/>
          <w:bCs/>
          <w:sz w:val="24"/>
          <w:szCs w:val="24"/>
        </w:rPr>
      </w:pPr>
      <w:r w:rsidRPr="0028603A">
        <w:rPr>
          <w:rFonts w:ascii="Garamond" w:eastAsia="Times New Roman" w:hAnsi="Garamond" w:cs="Arial"/>
          <w:sz w:val="24"/>
          <w:szCs w:val="24"/>
        </w:rPr>
        <w:t>Zaradi kritja presežkov odhodkov nad prihodki v bilanci prihodkov in odhodkov, presežkov izdatkov nad prejemki v računu finančnih terjatev in naložb ter odplačila dolgov v računu financiranja se občina za proračun leta 2015 lahko zadolži do višine 326.914 EUR.</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autoSpaceDE w:val="0"/>
        <w:autoSpaceDN w:val="0"/>
        <w:adjustRightInd w:val="0"/>
        <w:spacing w:after="0" w:line="240" w:lineRule="auto"/>
        <w:jc w:val="both"/>
        <w:rPr>
          <w:rFonts w:ascii="Garamond" w:eastAsia="Calibri" w:hAnsi="Garamond" w:cs="Times New Roman"/>
          <w:sz w:val="24"/>
          <w:szCs w:val="24"/>
        </w:rPr>
      </w:pPr>
      <w:r w:rsidRPr="0028603A">
        <w:rPr>
          <w:rFonts w:ascii="Garamond" w:eastAsia="Calibri" w:hAnsi="Garamond" w:cs="Times New Roman"/>
          <w:sz w:val="24"/>
          <w:szCs w:val="24"/>
        </w:rPr>
        <w:t xml:space="preserve">Neposredni in posredni proračunski uporabniki in javna podjetja se lahko zadolžujejo, če pridobijo soglasje Občinskega sveta Občine Trzin. </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b/>
          <w:sz w:val="24"/>
          <w:szCs w:val="24"/>
        </w:rPr>
      </w:pPr>
      <w:r w:rsidRPr="0028603A">
        <w:rPr>
          <w:rFonts w:ascii="Garamond" w:eastAsia="Times New Roman" w:hAnsi="Garamond" w:cs="Arial"/>
          <w:b/>
          <w:sz w:val="24"/>
          <w:szCs w:val="24"/>
        </w:rPr>
        <w:lastRenderedPageBreak/>
        <w:t>6. PREHODNE IN KONČNE DOLOČBE</w:t>
      </w:r>
    </w:p>
    <w:p w:rsidR="0028603A" w:rsidRPr="0028603A" w:rsidRDefault="0028603A" w:rsidP="0028603A">
      <w:pPr>
        <w:tabs>
          <w:tab w:val="left" w:pos="-1080"/>
          <w:tab w:val="left" w:pos="-720"/>
          <w:tab w:val="left" w:pos="0"/>
          <w:tab w:val="left" w:pos="810"/>
          <w:tab w:val="left" w:pos="1080"/>
        </w:tabs>
        <w:spacing w:after="0" w:line="240" w:lineRule="auto"/>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r w:rsidRPr="0028603A">
        <w:rPr>
          <w:rFonts w:ascii="Garamond" w:eastAsia="Times New Roman" w:hAnsi="Garamond" w:cs="Arial"/>
          <w:sz w:val="24"/>
          <w:szCs w:val="24"/>
        </w:rPr>
        <w:t>16. člen</w:t>
      </w:r>
    </w:p>
    <w:p w:rsidR="0028603A" w:rsidRPr="0028603A" w:rsidRDefault="0028603A" w:rsidP="0028603A">
      <w:pPr>
        <w:tabs>
          <w:tab w:val="left" w:pos="-1080"/>
          <w:tab w:val="left" w:pos="-720"/>
          <w:tab w:val="left" w:pos="0"/>
          <w:tab w:val="left" w:pos="810"/>
          <w:tab w:val="left" w:pos="1080"/>
        </w:tabs>
        <w:spacing w:after="0" w:line="240" w:lineRule="auto"/>
        <w:jc w:val="center"/>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Ta odlok se objavi v Uradnem vestniku Občine Trzin in na spletni strani Občine Trzin in začne veljati naslednji dan po objavi.</w:t>
      </w: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p>
    <w:p w:rsidR="0028603A" w:rsidRPr="0028603A" w:rsidRDefault="0028603A" w:rsidP="0028603A">
      <w:pPr>
        <w:tabs>
          <w:tab w:val="left" w:pos="-1080"/>
          <w:tab w:val="left" w:pos="-720"/>
          <w:tab w:val="left" w:pos="0"/>
          <w:tab w:val="left" w:pos="810"/>
          <w:tab w:val="left" w:pos="1080"/>
        </w:tabs>
        <w:spacing w:after="0" w:line="240" w:lineRule="auto"/>
        <w:jc w:val="both"/>
        <w:rPr>
          <w:rFonts w:ascii="Garamond" w:eastAsia="Times New Roman" w:hAnsi="Garamond" w:cs="Arial"/>
          <w:sz w:val="24"/>
          <w:szCs w:val="24"/>
        </w:rPr>
      </w:pPr>
      <w:r w:rsidRPr="0028603A">
        <w:rPr>
          <w:rFonts w:ascii="Garamond" w:eastAsia="Times New Roman" w:hAnsi="Garamond" w:cs="Arial"/>
          <w:sz w:val="24"/>
          <w:szCs w:val="24"/>
        </w:rPr>
        <w:t>Posebni del Proračuna Občine Trzin za leto 2015 in Načrt razvojnih programov Občine Trzin za leto 2015 - 2018 se skupaj z razširjenim splošnim delom Proračuna Občine Trzin za leto 2015 objavijo na spletni strani Občine Trzin in začnejo veljati hkrati z Odlokom o Proračunu Občine Trzin za leto 2015.</w:t>
      </w:r>
    </w:p>
    <w:p w:rsidR="000D0781" w:rsidRPr="0028603A" w:rsidRDefault="000D0781" w:rsidP="0028603A">
      <w:pPr>
        <w:spacing w:after="0" w:line="240" w:lineRule="auto"/>
        <w:jc w:val="both"/>
        <w:rPr>
          <w:rFonts w:ascii="Garamond" w:eastAsia="Times New Roman" w:hAnsi="Garamond" w:cs="Times New Roman"/>
          <w:sz w:val="24"/>
          <w:szCs w:val="24"/>
          <w:lang w:eastAsia="en-US"/>
        </w:rPr>
      </w:pPr>
    </w:p>
    <w:p w:rsidR="0028603A" w:rsidRDefault="0028603A" w:rsidP="0028603A">
      <w:pPr>
        <w:spacing w:after="0" w:line="240" w:lineRule="auto"/>
        <w:jc w:val="both"/>
        <w:rPr>
          <w:rFonts w:ascii="Garamond" w:eastAsia="Times New Roman" w:hAnsi="Garamond" w:cs="Times New Roman"/>
          <w:sz w:val="24"/>
          <w:szCs w:val="24"/>
          <w:lang w:eastAsia="en-US"/>
        </w:rPr>
      </w:pPr>
    </w:p>
    <w:p w:rsidR="00DD75ED" w:rsidRPr="0028603A" w:rsidRDefault="000D0781" w:rsidP="0028603A">
      <w:pPr>
        <w:spacing w:after="0" w:line="240" w:lineRule="auto"/>
        <w:jc w:val="both"/>
        <w:rPr>
          <w:rFonts w:ascii="Garamond" w:eastAsia="Times New Roman" w:hAnsi="Garamond" w:cs="Times New Roman"/>
          <w:sz w:val="24"/>
          <w:szCs w:val="24"/>
          <w:lang w:eastAsia="en-US"/>
        </w:rPr>
      </w:pPr>
      <w:r w:rsidRPr="0028603A">
        <w:rPr>
          <w:rFonts w:ascii="Garamond" w:eastAsia="Times New Roman" w:hAnsi="Garamond" w:cs="Times New Roman"/>
          <w:sz w:val="24"/>
          <w:szCs w:val="24"/>
          <w:lang w:eastAsia="en-US"/>
        </w:rPr>
        <w:t>Številka: 4-5.1</w:t>
      </w:r>
      <w:r w:rsidR="00CF1AD7" w:rsidRPr="0028603A">
        <w:rPr>
          <w:rFonts w:ascii="Garamond" w:eastAsia="Times New Roman" w:hAnsi="Garamond" w:cs="Times New Roman"/>
          <w:sz w:val="24"/>
          <w:szCs w:val="24"/>
          <w:lang w:eastAsia="en-US"/>
        </w:rPr>
        <w:t>.1</w:t>
      </w:r>
      <w:r w:rsidR="003D4073" w:rsidRPr="0028603A">
        <w:rPr>
          <w:rFonts w:ascii="Garamond" w:eastAsia="Times New Roman" w:hAnsi="Garamond" w:cs="Times New Roman"/>
          <w:sz w:val="24"/>
          <w:szCs w:val="24"/>
          <w:lang w:eastAsia="en-US"/>
        </w:rPr>
        <w:t>/2015</w:t>
      </w:r>
      <w:r w:rsidR="00DD75ED" w:rsidRPr="0028603A">
        <w:rPr>
          <w:rFonts w:ascii="Garamond" w:eastAsia="Times New Roman" w:hAnsi="Garamond" w:cs="Times New Roman"/>
          <w:sz w:val="24"/>
          <w:szCs w:val="24"/>
          <w:lang w:eastAsia="en-US"/>
        </w:rPr>
        <w:tab/>
      </w:r>
      <w:r w:rsidR="00DD75ED" w:rsidRPr="0028603A">
        <w:rPr>
          <w:rFonts w:ascii="Garamond" w:eastAsia="Times New Roman" w:hAnsi="Garamond" w:cs="Times New Roman"/>
          <w:sz w:val="24"/>
          <w:szCs w:val="24"/>
          <w:lang w:eastAsia="en-US"/>
        </w:rPr>
        <w:tab/>
      </w:r>
      <w:r w:rsidR="00DD75ED" w:rsidRPr="0028603A">
        <w:rPr>
          <w:rFonts w:ascii="Garamond" w:eastAsia="Times New Roman" w:hAnsi="Garamond" w:cs="Times New Roman"/>
          <w:sz w:val="24"/>
          <w:szCs w:val="24"/>
          <w:lang w:eastAsia="en-US"/>
        </w:rPr>
        <w:tab/>
      </w:r>
      <w:r w:rsidR="00DD75ED" w:rsidRPr="0028603A">
        <w:rPr>
          <w:rFonts w:ascii="Garamond" w:eastAsia="Times New Roman" w:hAnsi="Garamond" w:cs="Times New Roman"/>
          <w:sz w:val="24"/>
          <w:szCs w:val="24"/>
          <w:lang w:eastAsia="en-US"/>
        </w:rPr>
        <w:tab/>
      </w:r>
    </w:p>
    <w:p w:rsidR="00DD75ED" w:rsidRPr="0028603A" w:rsidRDefault="00DD75ED" w:rsidP="0028603A">
      <w:pPr>
        <w:spacing w:after="0" w:line="240" w:lineRule="auto"/>
        <w:jc w:val="both"/>
        <w:rPr>
          <w:rFonts w:ascii="Garamond" w:eastAsia="Times New Roman" w:hAnsi="Garamond" w:cs="Times New Roman"/>
          <w:iCs/>
          <w:sz w:val="24"/>
          <w:szCs w:val="24"/>
        </w:rPr>
      </w:pPr>
    </w:p>
    <w:p w:rsidR="00DD75ED" w:rsidRPr="0028603A" w:rsidRDefault="00DD75ED" w:rsidP="0028603A">
      <w:pPr>
        <w:spacing w:after="0" w:line="240" w:lineRule="auto"/>
        <w:jc w:val="both"/>
        <w:rPr>
          <w:rFonts w:ascii="Garamond" w:eastAsia="Times New Roman" w:hAnsi="Garamond" w:cs="Times New Roman"/>
          <w:sz w:val="24"/>
          <w:szCs w:val="24"/>
          <w:lang w:eastAsia="en-US"/>
        </w:rPr>
      </w:pPr>
      <w:r w:rsidRPr="0028603A">
        <w:rPr>
          <w:rFonts w:ascii="Garamond" w:eastAsia="Times New Roman" w:hAnsi="Garamond" w:cs="Times New Roman"/>
          <w:sz w:val="24"/>
          <w:szCs w:val="24"/>
          <w:lang w:eastAsia="en-US"/>
        </w:rPr>
        <w:t xml:space="preserve">                                                                                       </w:t>
      </w:r>
      <w:r w:rsidR="0028603A">
        <w:rPr>
          <w:rFonts w:ascii="Garamond" w:eastAsia="Times New Roman" w:hAnsi="Garamond" w:cs="Times New Roman"/>
          <w:sz w:val="24"/>
          <w:szCs w:val="24"/>
          <w:lang w:eastAsia="en-US"/>
        </w:rPr>
        <w:t xml:space="preserve">                              </w:t>
      </w:r>
      <w:r w:rsidRPr="0028603A">
        <w:rPr>
          <w:rFonts w:ascii="Garamond" w:eastAsia="Times New Roman" w:hAnsi="Garamond" w:cs="Times New Roman"/>
          <w:sz w:val="24"/>
          <w:szCs w:val="24"/>
          <w:lang w:eastAsia="en-US"/>
        </w:rPr>
        <w:t xml:space="preserve">   župan:</w:t>
      </w:r>
    </w:p>
    <w:p w:rsidR="00CF1AD7" w:rsidRPr="0028603A" w:rsidRDefault="00DD75ED" w:rsidP="0028603A">
      <w:pPr>
        <w:spacing w:after="0" w:line="240" w:lineRule="auto"/>
        <w:jc w:val="both"/>
        <w:rPr>
          <w:rFonts w:ascii="Garamond" w:eastAsia="Times New Roman" w:hAnsi="Garamond" w:cs="Times New Roman"/>
          <w:sz w:val="24"/>
          <w:szCs w:val="24"/>
          <w:lang w:eastAsia="en-US"/>
        </w:rPr>
      </w:pPr>
      <w:r w:rsidRPr="0028603A">
        <w:rPr>
          <w:rFonts w:ascii="Garamond" w:eastAsia="Times New Roman" w:hAnsi="Garamond" w:cs="Times New Roman"/>
          <w:sz w:val="24"/>
          <w:szCs w:val="24"/>
          <w:lang w:eastAsia="en-US"/>
        </w:rPr>
        <w:t xml:space="preserve">                                                                                               </w:t>
      </w:r>
      <w:r w:rsidR="0028603A">
        <w:rPr>
          <w:rFonts w:ascii="Garamond" w:eastAsia="Times New Roman" w:hAnsi="Garamond" w:cs="Times New Roman"/>
          <w:sz w:val="24"/>
          <w:szCs w:val="24"/>
          <w:lang w:eastAsia="en-US"/>
        </w:rPr>
        <w:t xml:space="preserve">                    </w:t>
      </w:r>
      <w:r w:rsidR="005836E0" w:rsidRPr="0028603A">
        <w:rPr>
          <w:rFonts w:ascii="Garamond" w:eastAsia="Times New Roman" w:hAnsi="Garamond" w:cs="Times New Roman"/>
          <w:sz w:val="24"/>
          <w:szCs w:val="24"/>
          <w:lang w:eastAsia="en-US"/>
        </w:rPr>
        <w:t xml:space="preserve"> Peter Ložar</w:t>
      </w:r>
    </w:p>
    <w:p w:rsidR="008A36FB" w:rsidRPr="0028603A" w:rsidRDefault="008A36FB" w:rsidP="0028603A">
      <w:pPr>
        <w:spacing w:after="0" w:line="240" w:lineRule="auto"/>
        <w:jc w:val="both"/>
        <w:rPr>
          <w:rFonts w:ascii="Garamond" w:eastAsia="Times New Roman" w:hAnsi="Garamond" w:cs="Times New Roman"/>
          <w:sz w:val="24"/>
          <w:szCs w:val="24"/>
        </w:rPr>
      </w:pPr>
    </w:p>
    <w:p w:rsidR="008A36FB" w:rsidRPr="0028603A" w:rsidRDefault="008A36FB" w:rsidP="0028603A">
      <w:pPr>
        <w:spacing w:after="0" w:line="240" w:lineRule="auto"/>
        <w:jc w:val="both"/>
        <w:rPr>
          <w:rFonts w:ascii="Garamond" w:eastAsia="Times New Roman" w:hAnsi="Garamond" w:cs="Times New Roman"/>
          <w:sz w:val="24"/>
          <w:szCs w:val="24"/>
        </w:rPr>
      </w:pPr>
    </w:p>
    <w:p w:rsidR="008A36FB" w:rsidRPr="0028603A" w:rsidRDefault="008A36FB" w:rsidP="0028603A">
      <w:pPr>
        <w:spacing w:after="0" w:line="240" w:lineRule="auto"/>
        <w:jc w:val="both"/>
        <w:rPr>
          <w:rFonts w:ascii="Garamond" w:eastAsia="Times New Roman" w:hAnsi="Garamond" w:cs="Times New Roman"/>
          <w:sz w:val="24"/>
          <w:szCs w:val="24"/>
        </w:rPr>
      </w:pPr>
    </w:p>
    <w:p w:rsidR="008A36FB" w:rsidRPr="0028603A" w:rsidRDefault="008A36FB" w:rsidP="0028603A">
      <w:pPr>
        <w:spacing w:after="0" w:line="240" w:lineRule="auto"/>
        <w:jc w:val="both"/>
        <w:rPr>
          <w:rFonts w:ascii="Garamond" w:eastAsia="Times New Roman" w:hAnsi="Garamond" w:cs="Times New Roman"/>
          <w:sz w:val="24"/>
          <w:szCs w:val="24"/>
        </w:rPr>
      </w:pPr>
    </w:p>
    <w:p w:rsidR="008A36FB" w:rsidRPr="0028603A" w:rsidRDefault="008A36FB" w:rsidP="0028603A">
      <w:pPr>
        <w:spacing w:after="0" w:line="240" w:lineRule="auto"/>
        <w:jc w:val="both"/>
        <w:rPr>
          <w:rFonts w:ascii="Garamond" w:eastAsia="Times New Roman" w:hAnsi="Garamond" w:cs="Times New Roman"/>
          <w:sz w:val="24"/>
          <w:szCs w:val="24"/>
        </w:rPr>
      </w:pPr>
      <w:bookmarkStart w:id="0" w:name="_GoBack"/>
      <w:bookmarkEnd w:id="0"/>
    </w:p>
    <w:p w:rsidR="00DD75ED" w:rsidRPr="0028603A" w:rsidRDefault="00DD75ED" w:rsidP="0028603A">
      <w:pPr>
        <w:spacing w:after="0" w:line="240" w:lineRule="auto"/>
        <w:jc w:val="both"/>
        <w:rPr>
          <w:rFonts w:ascii="Garamond" w:eastAsia="Times New Roman" w:hAnsi="Garamond" w:cs="Times New Roman"/>
          <w:sz w:val="24"/>
          <w:szCs w:val="24"/>
          <w:lang w:eastAsia="en-US"/>
        </w:rPr>
      </w:pPr>
      <w:r w:rsidRPr="0028603A">
        <w:rPr>
          <w:rFonts w:ascii="Garamond" w:eastAsia="Times New Roman" w:hAnsi="Garamond" w:cs="Times New Roman"/>
          <w:sz w:val="24"/>
          <w:szCs w:val="24"/>
        </w:rPr>
        <w:t>Poslano:</w:t>
      </w:r>
    </w:p>
    <w:p w:rsidR="005836E0" w:rsidRPr="0028603A" w:rsidRDefault="005836E0" w:rsidP="0028603A">
      <w:pPr>
        <w:numPr>
          <w:ilvl w:val="0"/>
          <w:numId w:val="1"/>
        </w:numPr>
        <w:spacing w:after="0" w:line="240" w:lineRule="auto"/>
        <w:rPr>
          <w:rFonts w:ascii="Garamond" w:eastAsia="Times New Roman" w:hAnsi="Garamond" w:cs="Times New Roman"/>
          <w:sz w:val="24"/>
          <w:szCs w:val="24"/>
        </w:rPr>
      </w:pPr>
      <w:r w:rsidRPr="0028603A">
        <w:rPr>
          <w:rFonts w:ascii="Garamond" w:eastAsia="Times New Roman" w:hAnsi="Garamond" w:cs="Times New Roman"/>
          <w:sz w:val="24"/>
          <w:szCs w:val="24"/>
        </w:rPr>
        <w:t>Uradni vestnik Občine Trzin, št. 1/2015, z dne 18.02.2015,</w:t>
      </w:r>
    </w:p>
    <w:p w:rsidR="00DD75ED" w:rsidRPr="0028603A" w:rsidRDefault="00DD75ED" w:rsidP="0028603A">
      <w:pPr>
        <w:numPr>
          <w:ilvl w:val="0"/>
          <w:numId w:val="1"/>
        </w:numPr>
        <w:spacing w:after="0" w:line="240" w:lineRule="auto"/>
        <w:rPr>
          <w:rFonts w:ascii="Garamond" w:eastAsia="Times New Roman" w:hAnsi="Garamond" w:cs="Times New Roman"/>
          <w:sz w:val="24"/>
          <w:szCs w:val="24"/>
        </w:rPr>
      </w:pPr>
      <w:r w:rsidRPr="0028603A">
        <w:rPr>
          <w:rFonts w:ascii="Garamond" w:eastAsia="Times New Roman" w:hAnsi="Garamond" w:cs="Times New Roman"/>
          <w:sz w:val="24"/>
          <w:szCs w:val="24"/>
        </w:rPr>
        <w:t>arhiv, tu (2 x)</w:t>
      </w:r>
    </w:p>
    <w:sectPr w:rsidR="00DD75ED" w:rsidRPr="0028603A" w:rsidSect="0028603A">
      <w:pgSz w:w="12240" w:h="15840"/>
      <w:pgMar w:top="851" w:right="1418"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0B2"/>
    <w:multiLevelType w:val="hybridMultilevel"/>
    <w:tmpl w:val="4A68C6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1B177F"/>
    <w:multiLevelType w:val="hybridMultilevel"/>
    <w:tmpl w:val="54A82DAA"/>
    <w:lvl w:ilvl="0" w:tplc="FFFFFFFF">
      <w:start w:val="1"/>
      <w:numFmt w:val="decimal"/>
      <w:lvlText w:val="%1."/>
      <w:lvlJc w:val="left"/>
      <w:pPr>
        <w:tabs>
          <w:tab w:val="num" w:pos="1170"/>
        </w:tabs>
        <w:ind w:left="1170" w:hanging="8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7717E90"/>
    <w:multiLevelType w:val="singleLevel"/>
    <w:tmpl w:val="0424000F"/>
    <w:lvl w:ilvl="0">
      <w:start w:val="1"/>
      <w:numFmt w:val="decimal"/>
      <w:lvlText w:val="%1."/>
      <w:lvlJc w:val="left"/>
      <w:pPr>
        <w:tabs>
          <w:tab w:val="num" w:pos="360"/>
        </w:tabs>
        <w:ind w:left="360" w:hanging="360"/>
      </w:pPr>
      <w:rPr>
        <w:rFonts w:hint="default"/>
      </w:rPr>
    </w:lvl>
  </w:abstractNum>
  <w:abstractNum w:abstractNumId="4">
    <w:nsid w:val="77235C75"/>
    <w:multiLevelType w:val="hybridMultilevel"/>
    <w:tmpl w:val="14D0BDB6"/>
    <w:lvl w:ilvl="0" w:tplc="F16ED3A0">
      <w:start w:val="3"/>
      <w:numFmt w:val="bullet"/>
      <w:lvlText w:val="-"/>
      <w:lvlJc w:val="left"/>
      <w:pPr>
        <w:tabs>
          <w:tab w:val="num" w:pos="720"/>
        </w:tabs>
        <w:ind w:left="720" w:hanging="360"/>
      </w:pPr>
      <w:rPr>
        <w:rFonts w:ascii="Calibri" w:eastAsia="Calibri" w:hAnsi="Calibri"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D0781"/>
    <w:rsid w:val="000D584C"/>
    <w:rsid w:val="001F1183"/>
    <w:rsid w:val="0020562F"/>
    <w:rsid w:val="0028603A"/>
    <w:rsid w:val="00305C27"/>
    <w:rsid w:val="003531BA"/>
    <w:rsid w:val="003D2AF4"/>
    <w:rsid w:val="003D4073"/>
    <w:rsid w:val="0048071E"/>
    <w:rsid w:val="005836E0"/>
    <w:rsid w:val="00680783"/>
    <w:rsid w:val="008A36FB"/>
    <w:rsid w:val="009059FB"/>
    <w:rsid w:val="009726BB"/>
    <w:rsid w:val="009E137A"/>
    <w:rsid w:val="00B76D5A"/>
    <w:rsid w:val="00C474C0"/>
    <w:rsid w:val="00C82F10"/>
    <w:rsid w:val="00CF1AD7"/>
    <w:rsid w:val="00DB62E8"/>
    <w:rsid w:val="00DD75ED"/>
    <w:rsid w:val="00EE02A4"/>
    <w:rsid w:val="00EE7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D2AF4"/>
    <w:pPr>
      <w:spacing w:after="0" w:line="240" w:lineRule="auto"/>
      <w:ind w:left="720"/>
      <w:contextualSpacing/>
    </w:pPr>
    <w:rPr>
      <w:rFonts w:ascii="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83347" TargetMode="External"/><Relationship Id="rId13" Type="http://schemas.openxmlformats.org/officeDocument/2006/relationships/hyperlink" Target="http://www.uradni-list.si/1/objava.jsp?urlurid=20130433" TargetMode="External"/><Relationship Id="rId18" Type="http://schemas.openxmlformats.org/officeDocument/2006/relationships/hyperlink" Target="http://www.uradni-list.si/1/objava.jsp?urlurid=20133675" TargetMode="External"/><Relationship Id="rId3" Type="http://schemas.openxmlformats.org/officeDocument/2006/relationships/styles" Target="styles.xml"/><Relationship Id="rId21" Type="http://schemas.openxmlformats.org/officeDocument/2006/relationships/hyperlink" Target="http://www.uradni-list.si/1/objava.jsp?urlurid=20141522" TargetMode="External"/><Relationship Id="rId7" Type="http://schemas.openxmlformats.org/officeDocument/2006/relationships/hyperlink" Target="http://www.uradni-list.si/1/objava.jsp?urlurid=20074692" TargetMode="External"/><Relationship Id="rId12" Type="http://schemas.openxmlformats.org/officeDocument/2006/relationships/hyperlink" Target="http://www.uradni-list.si/1/objava.jsp?urlurid=2011449" TargetMode="External"/><Relationship Id="rId17" Type="http://schemas.openxmlformats.org/officeDocument/2006/relationships/hyperlink" Target="http://www.uradni-list.si/1/objava.jsp?urlurid=20082416" TargetMode="External"/><Relationship Id="rId2" Type="http://schemas.openxmlformats.org/officeDocument/2006/relationships/numbering" Target="numbering.xml"/><Relationship Id="rId16" Type="http://schemas.openxmlformats.org/officeDocument/2006/relationships/hyperlink" Target="http://www.uradni-list.si/1/objava.jsp?urlurid=20065268" TargetMode="External"/><Relationship Id="rId20" Type="http://schemas.openxmlformats.org/officeDocument/2006/relationships/hyperlink" Target="http://www.uradni-list.si/1/objava.jsp?urlurid=20149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21700" TargetMode="External"/><Relationship Id="rId5" Type="http://schemas.openxmlformats.org/officeDocument/2006/relationships/settings" Target="settings.xml"/><Relationship Id="rId15" Type="http://schemas.openxmlformats.org/officeDocument/2006/relationships/hyperlink" Target="http://www.uradni-list.si/1/objava.jsp?urlurid=20061310" TargetMode="External"/><Relationship Id="rId23" Type="http://schemas.openxmlformats.org/officeDocument/2006/relationships/theme" Target="theme/theme1.xml"/><Relationship Id="rId10" Type="http://schemas.openxmlformats.org/officeDocument/2006/relationships/hyperlink" Target="http://www.uradni-list.si/1/objava.jsp?urlurid=20102763" TargetMode="External"/><Relationship Id="rId19" Type="http://schemas.openxmlformats.org/officeDocument/2006/relationships/hyperlink" Target="http://www.uradni-list.si/1/objava.jsp?urlurid=2014220" TargetMode="External"/><Relationship Id="rId4" Type="http://schemas.microsoft.com/office/2007/relationships/stylesWithEffects" Target="stylesWithEffects.xml"/><Relationship Id="rId9" Type="http://schemas.openxmlformats.org/officeDocument/2006/relationships/hyperlink" Target="http://www.uradni-list.si/1/objava.jsp?urlurid=20093437" TargetMode="External"/><Relationship Id="rId14" Type="http://schemas.openxmlformats.org/officeDocument/2006/relationships/hyperlink" Target="http://www.uradni-list.si/1/objava.jsp?urlurid=20133677"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EDCE-207D-4189-8F45-62D1A11D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2305</Words>
  <Characters>13145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20</cp:revision>
  <dcterms:created xsi:type="dcterms:W3CDTF">2014-11-26T15:52:00Z</dcterms:created>
  <dcterms:modified xsi:type="dcterms:W3CDTF">2015-02-12T12:13:00Z</dcterms:modified>
</cp:coreProperties>
</file>